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仿宋" w:hAnsi="仿宋" w:eastAsia="仿宋"/>
          <w:b/>
          <w:kern w:val="0"/>
          <w:sz w:val="30"/>
          <w:szCs w:val="30"/>
        </w:rPr>
      </w:pPr>
      <w:r>
        <w:rPr>
          <w:rFonts w:hint="eastAsia" w:ascii="仿宋" w:hAnsi="仿宋" w:eastAsia="仿宋"/>
          <w:b/>
          <w:kern w:val="0"/>
          <w:sz w:val="30"/>
          <w:szCs w:val="30"/>
        </w:rPr>
        <w:t>《莱赛尔纤维与锦纶混纺本色纱》团体标准编制说明</w:t>
      </w:r>
    </w:p>
    <w:p>
      <w:pPr>
        <w:widowControl/>
        <w:spacing w:line="360" w:lineRule="atLeast"/>
        <w:ind w:firstLine="482" w:firstLineChars="200"/>
        <w:rPr>
          <w:rFonts w:ascii="仿宋" w:hAnsi="仿宋" w:eastAsia="仿宋" w:cs="楷体_GB2312"/>
          <w:b/>
          <w:bCs/>
          <w:sz w:val="24"/>
          <w:szCs w:val="24"/>
        </w:rPr>
      </w:pPr>
    </w:p>
    <w:p>
      <w:pPr>
        <w:widowControl/>
        <w:spacing w:line="360" w:lineRule="atLeast"/>
        <w:ind w:firstLine="482" w:firstLineChars="200"/>
        <w:rPr>
          <w:rFonts w:ascii="仿宋" w:hAnsi="仿宋" w:eastAsia="仿宋"/>
          <w:b/>
          <w:bCs/>
          <w:sz w:val="24"/>
          <w:szCs w:val="24"/>
        </w:rPr>
      </w:pPr>
      <w:r>
        <w:rPr>
          <w:rFonts w:hint="eastAsia" w:ascii="仿宋" w:hAnsi="仿宋" w:eastAsia="仿宋" w:cs="楷体_GB2312"/>
          <w:b/>
          <w:bCs/>
          <w:sz w:val="24"/>
          <w:szCs w:val="24"/>
        </w:rPr>
        <w:t>1  工作简况</w:t>
      </w:r>
    </w:p>
    <w:p>
      <w:pPr>
        <w:spacing w:line="360" w:lineRule="atLeast"/>
        <w:ind w:firstLine="482" w:firstLineChars="200"/>
        <w:outlineLvl w:val="0"/>
        <w:rPr>
          <w:rFonts w:ascii="仿宋" w:hAnsi="仿宋" w:eastAsia="仿宋"/>
          <w:b/>
          <w:bCs/>
          <w:sz w:val="24"/>
          <w:szCs w:val="24"/>
        </w:rPr>
      </w:pPr>
      <w:r>
        <w:rPr>
          <w:rFonts w:hint="eastAsia" w:ascii="仿宋" w:hAnsi="仿宋" w:eastAsia="仿宋" w:cs="楷体_GB2312"/>
          <w:b/>
          <w:bCs/>
          <w:sz w:val="24"/>
          <w:szCs w:val="24"/>
        </w:rPr>
        <w:t>1.1 任务来源</w:t>
      </w:r>
    </w:p>
    <w:p>
      <w:pPr>
        <w:spacing w:line="360" w:lineRule="atLeast"/>
        <w:ind w:firstLine="480" w:firstLineChars="200"/>
        <w:outlineLvl w:val="0"/>
        <w:rPr>
          <w:rFonts w:ascii="仿宋" w:hAnsi="仿宋" w:eastAsia="仿宋" w:cstheme="majorEastAsia"/>
          <w:sz w:val="24"/>
        </w:rPr>
      </w:pPr>
      <w:r>
        <w:rPr>
          <w:rFonts w:hint="eastAsia" w:ascii="仿宋" w:hAnsi="仿宋" w:eastAsia="仿宋" w:cstheme="majorEastAsia"/>
          <w:bCs/>
          <w:sz w:val="24"/>
        </w:rPr>
        <w:t>根据中棉行协专</w:t>
      </w:r>
      <w:r>
        <w:rPr>
          <w:rFonts w:hint="eastAsia" w:ascii="仿宋" w:hAnsi="仿宋" w:eastAsia="仿宋" w:cstheme="majorEastAsia"/>
          <w:sz w:val="24"/>
        </w:rPr>
        <w:t>[2022]3号文的要求，《莱赛尔纤维与锦纶混纺本色纱》团体标准列入2022年中国棉纺织行业协会团体标准制修订计划第二批（计划号：2022-305-08），按照计划进度，应于2022/2023年完成报批。</w:t>
      </w:r>
    </w:p>
    <w:p>
      <w:pPr>
        <w:spacing w:line="360" w:lineRule="atLeast"/>
        <w:ind w:firstLine="482" w:firstLineChars="200"/>
        <w:outlineLvl w:val="0"/>
        <w:rPr>
          <w:rFonts w:ascii="仿宋" w:hAnsi="仿宋" w:eastAsia="仿宋"/>
          <w:b/>
          <w:bCs/>
          <w:sz w:val="24"/>
          <w:szCs w:val="24"/>
        </w:rPr>
      </w:pPr>
      <w:r>
        <w:rPr>
          <w:rFonts w:hint="eastAsia" w:ascii="仿宋" w:hAnsi="仿宋" w:eastAsia="仿宋" w:cs="楷体_GB2312"/>
          <w:b/>
          <w:bCs/>
          <w:sz w:val="24"/>
          <w:szCs w:val="24"/>
        </w:rPr>
        <w:t>1.2  主要工作过程</w:t>
      </w:r>
    </w:p>
    <w:p>
      <w:pPr>
        <w:autoSpaceDE w:val="0"/>
        <w:autoSpaceDN w:val="0"/>
        <w:spacing w:line="360" w:lineRule="atLeast"/>
        <w:ind w:firstLine="480" w:firstLineChars="200"/>
        <w:rPr>
          <w:rFonts w:ascii="仿宋" w:hAnsi="仿宋" w:eastAsia="仿宋" w:cs="楷体_GB2312"/>
          <w:sz w:val="24"/>
          <w:szCs w:val="24"/>
        </w:rPr>
      </w:pPr>
      <w:r>
        <w:rPr>
          <w:rFonts w:hint="eastAsia" w:ascii="仿宋" w:hAnsi="仿宋" w:eastAsia="仿宋"/>
          <w:sz w:val="24"/>
        </w:rPr>
        <w:t>2022年2月，中国棉纺织行业协会下达了</w:t>
      </w:r>
      <w:r>
        <w:rPr>
          <w:rFonts w:hint="eastAsia" w:ascii="仿宋" w:hAnsi="仿宋" w:eastAsia="仿宋" w:cs="楷体_GB2312"/>
          <w:sz w:val="24"/>
          <w:szCs w:val="24"/>
        </w:rPr>
        <w:t>《</w:t>
      </w:r>
      <w:r>
        <w:rPr>
          <w:rFonts w:hint="eastAsia" w:ascii="仿宋" w:hAnsi="仿宋" w:eastAsia="仿宋" w:cstheme="majorEastAsia"/>
          <w:sz w:val="24"/>
        </w:rPr>
        <w:t>莱赛尔纤维与锦纶混纺本色纱</w:t>
      </w:r>
      <w:r>
        <w:rPr>
          <w:rFonts w:hint="eastAsia" w:ascii="仿宋" w:hAnsi="仿宋" w:eastAsia="仿宋" w:cs="楷体_GB2312"/>
          <w:sz w:val="24"/>
          <w:szCs w:val="24"/>
        </w:rPr>
        <w:t>》</w:t>
      </w:r>
      <w:r>
        <w:rPr>
          <w:rFonts w:hint="eastAsia" w:ascii="仿宋" w:hAnsi="仿宋" w:eastAsia="仿宋"/>
          <w:sz w:val="24"/>
        </w:rPr>
        <w:t>团体项目制定计划，项目由中国棉纺织行业协会团体标准化技术委员会归口，福建新华源纺织集团有限公司等单位组成标准起草小组。主</w:t>
      </w:r>
      <w:r>
        <w:rPr>
          <w:rFonts w:hint="eastAsia" w:ascii="仿宋" w:hAnsi="仿宋" w:eastAsia="仿宋" w:cs="楷体_GB2312"/>
          <w:sz w:val="24"/>
          <w:szCs w:val="24"/>
        </w:rPr>
        <w:t>起草单位收集整理了大量数据，并积极听取生产企业和检测机构的意见和建议，对技术指标进行数据收集整理、试套，完成草稿。起草小组根据提出的意见及试套情况对草稿进行修改，完成征求意见稿。</w:t>
      </w:r>
    </w:p>
    <w:p>
      <w:pPr>
        <w:spacing w:line="360" w:lineRule="atLeast"/>
        <w:ind w:firstLine="482" w:firstLineChars="200"/>
        <w:outlineLvl w:val="0"/>
        <w:rPr>
          <w:rFonts w:ascii="仿宋" w:hAnsi="仿宋" w:eastAsia="仿宋"/>
          <w:b/>
          <w:bCs/>
          <w:sz w:val="24"/>
          <w:szCs w:val="24"/>
        </w:rPr>
      </w:pPr>
      <w:r>
        <w:rPr>
          <w:rFonts w:hint="eastAsia" w:ascii="仿宋" w:hAnsi="仿宋" w:eastAsia="仿宋" w:cs="楷体_GB2312"/>
          <w:b/>
          <w:bCs/>
          <w:sz w:val="24"/>
          <w:szCs w:val="24"/>
        </w:rPr>
        <w:t>1.3  主要参加单位和工作组成员及其所做的工作</w:t>
      </w:r>
    </w:p>
    <w:p>
      <w:pPr>
        <w:spacing w:line="360" w:lineRule="atLeast"/>
        <w:ind w:firstLine="480" w:firstLineChars="200"/>
        <w:rPr>
          <w:rFonts w:ascii="仿宋" w:hAnsi="仿宋" w:eastAsia="仿宋"/>
          <w:sz w:val="24"/>
          <w:szCs w:val="24"/>
        </w:rPr>
      </w:pPr>
      <w:r>
        <w:rPr>
          <w:rFonts w:hint="eastAsia" w:ascii="仿宋" w:hAnsi="仿宋" w:eastAsia="仿宋" w:cs="楷体_GB2312"/>
          <w:sz w:val="24"/>
          <w:szCs w:val="24"/>
        </w:rPr>
        <w:t>本文件归口单位：</w:t>
      </w:r>
      <w:r>
        <w:rPr>
          <w:rFonts w:hint="eastAsia" w:ascii="仿宋" w:hAnsi="仿宋" w:eastAsia="仿宋"/>
          <w:sz w:val="24"/>
        </w:rPr>
        <w:t>中国棉纺织行业协会团体标准化技术委员会</w:t>
      </w:r>
      <w:r>
        <w:rPr>
          <w:rFonts w:hint="eastAsia" w:ascii="仿宋" w:hAnsi="仿宋" w:eastAsia="仿宋" w:cs="楷体_GB2312"/>
          <w:sz w:val="24"/>
          <w:szCs w:val="24"/>
        </w:rPr>
        <w:t>。</w:t>
      </w:r>
    </w:p>
    <w:p>
      <w:pPr>
        <w:spacing w:line="360" w:lineRule="atLeast"/>
        <w:ind w:firstLine="480" w:firstLineChars="200"/>
        <w:rPr>
          <w:rFonts w:ascii="仿宋" w:hAnsi="仿宋" w:eastAsia="仿宋"/>
          <w:sz w:val="24"/>
          <w:szCs w:val="24"/>
        </w:rPr>
      </w:pPr>
      <w:r>
        <w:rPr>
          <w:rFonts w:hint="eastAsia" w:ascii="仿宋" w:hAnsi="仿宋" w:eastAsia="仿宋" w:cs="楷体_GB2312"/>
          <w:sz w:val="24"/>
          <w:szCs w:val="24"/>
        </w:rPr>
        <w:t>本文件起草单位：福建新华源纺织集团有限公司、……。</w:t>
      </w:r>
    </w:p>
    <w:p>
      <w:pPr>
        <w:spacing w:line="360" w:lineRule="atLeast"/>
        <w:ind w:firstLine="480" w:firstLineChars="200"/>
        <w:rPr>
          <w:rFonts w:ascii="仿宋" w:hAnsi="仿宋" w:eastAsia="仿宋"/>
          <w:sz w:val="24"/>
        </w:rPr>
      </w:pPr>
      <w:r>
        <w:rPr>
          <w:rFonts w:hint="eastAsia" w:ascii="仿宋" w:hAnsi="仿宋" w:eastAsia="仿宋" w:cs="楷体_GB2312"/>
          <w:sz w:val="24"/>
          <w:szCs w:val="24"/>
        </w:rPr>
        <w:t>主起草单位通过企业调研，分析企业实际贸易交往的需求，起草《</w:t>
      </w:r>
      <w:r>
        <w:rPr>
          <w:rFonts w:hint="eastAsia" w:ascii="仿宋" w:hAnsi="仿宋" w:eastAsia="仿宋" w:cstheme="majorEastAsia"/>
          <w:sz w:val="24"/>
        </w:rPr>
        <w:t>莱赛尔纤维与锦纶混纺本色纱</w:t>
      </w:r>
      <w:r>
        <w:rPr>
          <w:rFonts w:hint="eastAsia" w:ascii="仿宋" w:hAnsi="仿宋" w:eastAsia="仿宋" w:cs="楷体_GB2312"/>
          <w:sz w:val="24"/>
          <w:szCs w:val="24"/>
        </w:rPr>
        <w:t>》草稿，起草小组对草稿进行讨论修改，完成实验室论证，形成征求意见稿</w:t>
      </w:r>
      <w:r>
        <w:rPr>
          <w:rFonts w:hint="eastAsia" w:ascii="仿宋" w:hAnsi="仿宋" w:eastAsia="仿宋"/>
          <w:sz w:val="24"/>
        </w:rPr>
        <w:t>。</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2  编制原则和主要内容</w:t>
      </w:r>
    </w:p>
    <w:p>
      <w:pPr>
        <w:spacing w:line="360" w:lineRule="atLeast"/>
        <w:ind w:firstLine="482" w:firstLineChars="200"/>
        <w:rPr>
          <w:rFonts w:ascii="仿宋" w:hAnsi="仿宋" w:eastAsia="仿宋"/>
          <w:b/>
          <w:sz w:val="24"/>
          <w:szCs w:val="24"/>
        </w:rPr>
      </w:pPr>
      <w:r>
        <w:rPr>
          <w:rFonts w:hint="eastAsia" w:ascii="仿宋" w:hAnsi="仿宋" w:eastAsia="仿宋" w:cs="楷体_GB2312"/>
          <w:b/>
          <w:bCs/>
          <w:sz w:val="24"/>
          <w:szCs w:val="24"/>
        </w:rPr>
        <w:t>2.1  制定文件的原则</w:t>
      </w:r>
    </w:p>
    <w:p>
      <w:pPr>
        <w:spacing w:line="360" w:lineRule="atLeast"/>
        <w:ind w:firstLine="480" w:firstLineChars="200"/>
        <w:rPr>
          <w:rFonts w:ascii="仿宋" w:hAnsi="仿宋" w:eastAsia="仿宋"/>
          <w:sz w:val="24"/>
          <w:szCs w:val="24"/>
        </w:rPr>
      </w:pPr>
      <w:r>
        <w:rPr>
          <w:rFonts w:hint="eastAsia" w:ascii="仿宋" w:hAnsi="仿宋" w:eastAsia="仿宋" w:cs="楷体_GB2312"/>
          <w:sz w:val="24"/>
          <w:szCs w:val="24"/>
        </w:rPr>
        <w:t>2.1.1编写格式按照GB/T 1.1的要求，引用标准采用最新版本。</w:t>
      </w:r>
    </w:p>
    <w:p>
      <w:pPr>
        <w:spacing w:line="360" w:lineRule="atLeast"/>
        <w:ind w:firstLine="480" w:firstLineChars="200"/>
        <w:rPr>
          <w:rFonts w:ascii="仿宋" w:hAnsi="仿宋" w:eastAsia="仿宋"/>
          <w:sz w:val="24"/>
          <w:szCs w:val="24"/>
        </w:rPr>
      </w:pPr>
      <w:r>
        <w:rPr>
          <w:rFonts w:hint="eastAsia" w:ascii="仿宋" w:hAnsi="仿宋" w:eastAsia="仿宋" w:cs="楷体_GB2312"/>
          <w:sz w:val="24"/>
          <w:szCs w:val="24"/>
        </w:rPr>
        <w:t>2.1.2制定文件的目的是规范生产，因此标准必须适应市场的要求，满足生产发展需求。该标准应从生产型标准向贸易型标准转换，为供需双方签订合同指标提供指导，为企业制定内控标准提供依据。</w:t>
      </w:r>
    </w:p>
    <w:p>
      <w:pPr>
        <w:spacing w:line="360" w:lineRule="atLeast"/>
        <w:ind w:firstLine="480" w:firstLineChars="200"/>
        <w:rPr>
          <w:rFonts w:ascii="仿宋" w:hAnsi="仿宋" w:eastAsia="仿宋"/>
          <w:sz w:val="24"/>
          <w:szCs w:val="24"/>
        </w:rPr>
      </w:pPr>
      <w:r>
        <w:rPr>
          <w:rFonts w:hint="eastAsia" w:ascii="仿宋" w:hAnsi="仿宋" w:eastAsia="仿宋" w:cs="楷体_GB2312"/>
          <w:sz w:val="24"/>
          <w:szCs w:val="24"/>
        </w:rPr>
        <w:t>2.1.3文件的内容尽可能从实际应用出发，符合用户及最终成品使用的要求。</w:t>
      </w:r>
    </w:p>
    <w:p>
      <w:pPr>
        <w:spacing w:line="360" w:lineRule="atLeast"/>
        <w:ind w:firstLine="480" w:firstLineChars="200"/>
        <w:rPr>
          <w:rFonts w:ascii="仿宋" w:hAnsi="仿宋" w:eastAsia="仿宋" w:cs="楷体_GB2312"/>
          <w:sz w:val="24"/>
          <w:szCs w:val="24"/>
        </w:rPr>
      </w:pPr>
      <w:r>
        <w:rPr>
          <w:rFonts w:hint="eastAsia" w:ascii="仿宋" w:hAnsi="仿宋" w:eastAsia="仿宋" w:cs="楷体_GB2312"/>
          <w:sz w:val="24"/>
          <w:szCs w:val="24"/>
        </w:rPr>
        <w:t>2.1.4测试的方法尽可能采用已采标的国家、行业标准中的试验方法标准，以体现标准的统一性和协调性，以确保试验结果的可比性。</w:t>
      </w:r>
    </w:p>
    <w:p>
      <w:pPr>
        <w:spacing w:line="360" w:lineRule="atLeast"/>
        <w:ind w:firstLine="482" w:firstLineChars="200"/>
        <w:rPr>
          <w:rFonts w:ascii="仿宋" w:hAnsi="仿宋" w:eastAsia="仿宋" w:cs="楷体_GB2312"/>
          <w:b/>
          <w:sz w:val="24"/>
          <w:szCs w:val="24"/>
        </w:rPr>
      </w:pPr>
      <w:r>
        <w:rPr>
          <w:rFonts w:hint="eastAsia" w:ascii="仿宋" w:hAnsi="仿宋" w:eastAsia="仿宋" w:cs="楷体_GB2312"/>
          <w:b/>
          <w:sz w:val="24"/>
          <w:szCs w:val="24"/>
        </w:rPr>
        <w:t>2.2  制定文件的主要内容</w:t>
      </w:r>
    </w:p>
    <w:p>
      <w:pPr>
        <w:spacing w:line="360" w:lineRule="atLeast"/>
        <w:ind w:firstLine="465"/>
        <w:rPr>
          <w:rFonts w:ascii="仿宋" w:hAnsi="仿宋" w:eastAsia="仿宋" w:cs="楷体_GB2312"/>
          <w:sz w:val="24"/>
          <w:szCs w:val="24"/>
        </w:rPr>
      </w:pPr>
      <w:r>
        <w:rPr>
          <w:rFonts w:hint="eastAsia" w:ascii="仿宋" w:hAnsi="仿宋" w:eastAsia="仿宋" w:cs="楷体_GB2312"/>
          <w:b/>
          <w:sz w:val="24"/>
          <w:szCs w:val="24"/>
        </w:rPr>
        <w:t>2.2.1  章节：</w:t>
      </w:r>
      <w:r>
        <w:rPr>
          <w:rFonts w:hint="eastAsia" w:ascii="仿宋" w:hAnsi="仿宋" w:eastAsia="仿宋"/>
          <w:sz w:val="24"/>
        </w:rPr>
        <w:t>按照产品术语和定义、分类、标记、要求、试验方法、检验规则和标志、包装进行编排。</w:t>
      </w:r>
    </w:p>
    <w:p>
      <w:pPr>
        <w:spacing w:line="360" w:lineRule="atLeast"/>
        <w:ind w:firstLine="465"/>
        <w:rPr>
          <w:rFonts w:ascii="仿宋" w:hAnsi="仿宋" w:eastAsia="仿宋"/>
          <w:sz w:val="24"/>
          <w:szCs w:val="24"/>
        </w:rPr>
      </w:pPr>
      <w:r>
        <w:rPr>
          <w:rFonts w:hint="eastAsia" w:ascii="仿宋" w:hAnsi="仿宋" w:eastAsia="仿宋" w:cs="楷体_GB2312"/>
          <w:b/>
          <w:sz w:val="24"/>
          <w:szCs w:val="24"/>
        </w:rPr>
        <w:t>2.2.</w:t>
      </w:r>
      <w:r>
        <w:rPr>
          <w:rFonts w:ascii="仿宋" w:hAnsi="仿宋" w:eastAsia="仿宋" w:cs="楷体_GB2312"/>
          <w:b/>
          <w:sz w:val="24"/>
          <w:szCs w:val="24"/>
        </w:rPr>
        <w:t>2</w:t>
      </w:r>
      <w:r>
        <w:rPr>
          <w:rFonts w:hint="eastAsia" w:ascii="仿宋" w:hAnsi="仿宋" w:eastAsia="仿宋" w:cs="楷体_GB2312"/>
          <w:b/>
          <w:sz w:val="24"/>
          <w:szCs w:val="24"/>
        </w:rPr>
        <w:t xml:space="preserve">  适用范围：</w:t>
      </w:r>
      <w:r>
        <w:rPr>
          <w:rFonts w:hint="eastAsia" w:ascii="仿宋" w:hAnsi="仿宋" w:eastAsia="仿宋"/>
          <w:sz w:val="24"/>
          <w:szCs w:val="24"/>
        </w:rPr>
        <w:t>适用于赛络紧密纺莱赛尔（莱赛尔纤维含量≥50%）与锦纶6混纺本色纱。</w:t>
      </w:r>
    </w:p>
    <w:p>
      <w:pPr>
        <w:widowControl/>
        <w:ind w:firstLine="482" w:firstLineChars="200"/>
        <w:jc w:val="left"/>
        <w:rPr>
          <w:rFonts w:ascii="仿宋" w:hAnsi="仿宋" w:eastAsia="仿宋"/>
          <w:b/>
          <w:bCs/>
          <w:sz w:val="24"/>
          <w:szCs w:val="24"/>
        </w:rPr>
      </w:pPr>
      <w:r>
        <w:rPr>
          <w:rFonts w:hint="eastAsia" w:ascii="仿宋" w:hAnsi="仿宋" w:eastAsia="仿宋"/>
          <w:b/>
          <w:bCs/>
          <w:sz w:val="24"/>
          <w:szCs w:val="24"/>
        </w:rPr>
        <w:t>2.2.3  术语和定义：</w:t>
      </w:r>
    </w:p>
    <w:p>
      <w:pPr>
        <w:spacing w:line="360" w:lineRule="atLeast"/>
        <w:ind w:firstLine="465"/>
        <w:rPr>
          <w:rFonts w:ascii="仿宋" w:hAnsi="仿宋" w:eastAsia="仿宋"/>
          <w:sz w:val="24"/>
          <w:szCs w:val="24"/>
        </w:rPr>
      </w:pPr>
      <w:r>
        <w:rPr>
          <w:rFonts w:hint="eastAsia" w:ascii="仿宋" w:hAnsi="仿宋" w:eastAsia="仿宋"/>
          <w:sz w:val="24"/>
          <w:szCs w:val="24"/>
        </w:rPr>
        <w:t>本文件没有需要界定的术语和定义。</w:t>
      </w:r>
    </w:p>
    <w:p>
      <w:pPr>
        <w:spacing w:line="360" w:lineRule="atLeast"/>
        <w:ind w:firstLine="465"/>
        <w:rPr>
          <w:rFonts w:ascii="仿宋" w:hAnsi="仿宋" w:eastAsia="仿宋" w:cs="楷体_GB2312"/>
          <w:b/>
          <w:sz w:val="24"/>
          <w:szCs w:val="24"/>
        </w:rPr>
      </w:pPr>
      <w:r>
        <w:rPr>
          <w:rFonts w:hint="eastAsia" w:ascii="仿宋" w:hAnsi="仿宋" w:eastAsia="仿宋" w:cs="楷体_GB2312"/>
          <w:b/>
          <w:sz w:val="24"/>
          <w:szCs w:val="24"/>
        </w:rPr>
        <w:t>2.2.4  产品分类、标记：</w:t>
      </w:r>
    </w:p>
    <w:p>
      <w:pPr>
        <w:spacing w:line="360" w:lineRule="atLeast"/>
        <w:ind w:firstLine="465"/>
        <w:rPr>
          <w:rFonts w:ascii="仿宋" w:hAnsi="仿宋" w:eastAsia="仿宋"/>
          <w:sz w:val="24"/>
          <w:szCs w:val="24"/>
        </w:rPr>
      </w:pPr>
      <w:r>
        <w:rPr>
          <w:rFonts w:hint="eastAsia" w:ascii="仿宋" w:hAnsi="仿宋" w:eastAsia="仿宋" w:cs="楷体_GB2312"/>
          <w:b/>
          <w:sz w:val="24"/>
          <w:szCs w:val="24"/>
        </w:rPr>
        <w:t xml:space="preserve">2.2.4.1 </w:t>
      </w:r>
      <w:r>
        <w:rPr>
          <w:rFonts w:hint="eastAsia" w:ascii="仿宋" w:hAnsi="仿宋" w:eastAsia="仿宋"/>
          <w:sz w:val="24"/>
          <w:szCs w:val="24"/>
        </w:rPr>
        <w:t>莱赛尔纤维与锦纶混纺本色纱以不同混纺比和公称线密度分类。</w:t>
      </w:r>
    </w:p>
    <w:p>
      <w:pPr>
        <w:spacing w:line="360" w:lineRule="atLeast"/>
        <w:ind w:firstLine="465"/>
        <w:rPr>
          <w:rFonts w:ascii="仿宋" w:hAnsi="仿宋" w:eastAsia="仿宋"/>
          <w:sz w:val="24"/>
          <w:szCs w:val="24"/>
        </w:rPr>
      </w:pPr>
      <w:r>
        <w:rPr>
          <w:rFonts w:hint="eastAsia" w:ascii="仿宋" w:hAnsi="仿宋" w:eastAsia="仿宋"/>
          <w:b/>
          <w:bCs/>
          <w:sz w:val="24"/>
          <w:szCs w:val="24"/>
        </w:rPr>
        <w:t xml:space="preserve">2.2.4.2 </w:t>
      </w:r>
      <w:r>
        <w:rPr>
          <w:rFonts w:hint="eastAsia" w:ascii="仿宋" w:hAnsi="仿宋" w:eastAsia="仿宋"/>
          <w:sz w:val="24"/>
          <w:szCs w:val="24"/>
        </w:rPr>
        <w:t>莱赛尔纤维与锦纶混纺本色纱的原料代号为莱赛尔纤维为 Ly、锦纶6短纤维为N。</w:t>
      </w:r>
    </w:p>
    <w:p>
      <w:pPr>
        <w:spacing w:line="360" w:lineRule="atLeast"/>
        <w:ind w:firstLine="465"/>
        <w:rPr>
          <w:rFonts w:ascii="仿宋" w:hAnsi="仿宋" w:eastAsia="仿宋"/>
          <w:sz w:val="24"/>
          <w:szCs w:val="24"/>
        </w:rPr>
      </w:pPr>
      <w:r>
        <w:rPr>
          <w:rFonts w:hint="eastAsia" w:ascii="仿宋" w:hAnsi="仿宋" w:eastAsia="仿宋"/>
          <w:b/>
          <w:bCs/>
          <w:sz w:val="24"/>
          <w:szCs w:val="24"/>
        </w:rPr>
        <w:t>2.2.4.3</w:t>
      </w:r>
      <w:r>
        <w:rPr>
          <w:rFonts w:hint="eastAsia" w:ascii="仿宋" w:hAnsi="仿宋" w:eastAsia="仿宋"/>
          <w:sz w:val="24"/>
          <w:szCs w:val="24"/>
        </w:rPr>
        <w:t>产品混纺比以公定质量比表示，一般按纤维含量递减顺序列出，当各种纤维含量相同时，纤维含量排列顺序可任意。</w:t>
      </w:r>
    </w:p>
    <w:p>
      <w:pPr>
        <w:pStyle w:val="24"/>
        <w:numPr>
          <w:ilvl w:val="2"/>
          <w:numId w:val="0"/>
        </w:numPr>
        <w:ind w:firstLine="482" w:firstLineChars="200"/>
        <w:rPr>
          <w:rFonts w:ascii="仿宋" w:hAnsi="仿宋" w:eastAsia="仿宋"/>
          <w:sz w:val="24"/>
          <w:szCs w:val="24"/>
        </w:rPr>
      </w:pPr>
      <w:r>
        <w:rPr>
          <w:rFonts w:hint="eastAsia" w:ascii="仿宋" w:hAnsi="仿宋" w:eastAsia="仿宋" w:cs="宋体"/>
          <w:b/>
          <w:bCs/>
          <w:kern w:val="2"/>
          <w:sz w:val="24"/>
          <w:szCs w:val="24"/>
        </w:rPr>
        <w:t xml:space="preserve">2.2.4.4 </w:t>
      </w:r>
      <w:r>
        <w:rPr>
          <w:rFonts w:hint="eastAsia" w:ascii="仿宋" w:hAnsi="仿宋" w:eastAsia="仿宋" w:cs="宋体"/>
          <w:kern w:val="2"/>
          <w:sz w:val="24"/>
          <w:szCs w:val="24"/>
        </w:rPr>
        <w:t>莱赛尔纤维与锦纶混纺本色纱标记时,应在线密度前标明纱的原料代号及其混纺比，具体表示见下列示例。</w:t>
      </w:r>
    </w:p>
    <w:p>
      <w:pPr>
        <w:spacing w:line="360" w:lineRule="atLeast"/>
        <w:ind w:firstLine="465"/>
        <w:rPr>
          <w:rFonts w:ascii="仿宋" w:hAnsi="仿宋" w:eastAsia="仿宋"/>
          <w:sz w:val="24"/>
          <w:szCs w:val="24"/>
        </w:rPr>
      </w:pPr>
      <w:r>
        <w:rPr>
          <w:rFonts w:hint="eastAsia" w:ascii="仿宋" w:hAnsi="仿宋" w:eastAsia="仿宋"/>
          <w:sz w:val="24"/>
          <w:szCs w:val="24"/>
        </w:rPr>
        <w:t>示例：莱赛尔纤维与锦纶混纺本色纱，其线密度为14.8tex，莱赛尔纤维含量为70%，锦纶6含量为30%，可表示为: AA JM Ly/N 70/30 14.8tex。</w:t>
      </w:r>
    </w:p>
    <w:p>
      <w:pPr>
        <w:spacing w:line="360" w:lineRule="atLeast"/>
        <w:ind w:firstLine="465"/>
        <w:rPr>
          <w:rFonts w:ascii="仿宋" w:hAnsi="仿宋" w:eastAsia="仿宋"/>
          <w:sz w:val="24"/>
          <w:szCs w:val="24"/>
        </w:rPr>
      </w:pPr>
      <w:r>
        <w:rPr>
          <w:rFonts w:hint="eastAsia" w:ascii="仿宋" w:hAnsi="仿宋" w:eastAsia="仿宋" w:cs="楷体_GB2312"/>
          <w:b/>
          <w:sz w:val="24"/>
          <w:szCs w:val="24"/>
        </w:rPr>
        <w:t>2.2.5  技术要求：</w:t>
      </w:r>
      <w:r>
        <w:rPr>
          <w:rFonts w:hint="eastAsia" w:ascii="仿宋" w:hAnsi="仿宋" w:eastAsia="仿宋"/>
          <w:sz w:val="24"/>
          <w:szCs w:val="24"/>
        </w:rPr>
        <w:t>线密度偏差率、线密度变异系数、单纱断裂强度、单纱断裂强力变异系数、条干均匀度变异系数、千米棉结</w:t>
      </w:r>
      <w:r>
        <w:rPr>
          <w:rFonts w:ascii="仿宋" w:hAnsi="仿宋" w:eastAsia="仿宋"/>
          <w:sz w:val="24"/>
          <w:szCs w:val="24"/>
        </w:rPr>
        <w:t>(+200%)</w:t>
      </w:r>
      <w:r>
        <w:rPr>
          <w:rFonts w:hint="eastAsia" w:ascii="仿宋" w:hAnsi="仿宋" w:eastAsia="仿宋"/>
          <w:sz w:val="24"/>
          <w:szCs w:val="24"/>
        </w:rPr>
        <w:t>、十万米纱疵</w:t>
      </w:r>
      <w:r>
        <w:rPr>
          <w:rFonts w:hint="eastAsia" w:ascii="仿宋" w:hAnsi="仿宋" w:eastAsia="仿宋"/>
          <w:sz w:val="24"/>
          <w:szCs w:val="24"/>
          <w:lang w:val="en-US" w:eastAsia="zh-CN"/>
        </w:rPr>
        <w:t>和纤维含量偏差八</w:t>
      </w:r>
      <w:r>
        <w:rPr>
          <w:rFonts w:hint="eastAsia" w:ascii="仿宋" w:hAnsi="仿宋" w:eastAsia="仿宋"/>
          <w:sz w:val="24"/>
          <w:szCs w:val="24"/>
        </w:rPr>
        <w:t>项指标。</w:t>
      </w:r>
    </w:p>
    <w:p>
      <w:pPr>
        <w:spacing w:line="360" w:lineRule="atLeast"/>
        <w:ind w:firstLine="465"/>
        <w:rPr>
          <w:rFonts w:ascii="仿宋" w:hAnsi="仿宋" w:eastAsia="仿宋" w:cs="楷体_GB2312"/>
          <w:sz w:val="24"/>
          <w:szCs w:val="24"/>
        </w:rPr>
      </w:pPr>
      <w:r>
        <w:rPr>
          <w:rFonts w:hint="eastAsia" w:ascii="仿宋" w:hAnsi="仿宋" w:eastAsia="仿宋" w:cs="楷体_GB2312"/>
          <w:b/>
          <w:sz w:val="24"/>
          <w:szCs w:val="24"/>
        </w:rPr>
        <w:t>2.2.6  试验方法：</w:t>
      </w:r>
      <w:r>
        <w:rPr>
          <w:rFonts w:hint="eastAsia" w:ascii="仿宋" w:hAnsi="仿宋" w:eastAsia="仿宋" w:cs="楷体_GB2312"/>
          <w:sz w:val="24"/>
          <w:szCs w:val="24"/>
        </w:rPr>
        <w:t>按现行有效的国家标准和行业标准规定执行。</w:t>
      </w:r>
    </w:p>
    <w:p>
      <w:pPr>
        <w:spacing w:line="360" w:lineRule="atLeast"/>
        <w:ind w:firstLine="465"/>
        <w:rPr>
          <w:rFonts w:ascii="仿宋" w:hAnsi="仿宋" w:eastAsia="仿宋" w:cs="楷体_GB2312"/>
          <w:sz w:val="24"/>
          <w:szCs w:val="24"/>
        </w:rPr>
      </w:pPr>
      <w:r>
        <w:rPr>
          <w:rFonts w:hint="eastAsia" w:ascii="仿宋" w:hAnsi="仿宋" w:eastAsia="仿宋" w:cs="楷体_GB2312"/>
          <w:b/>
          <w:sz w:val="24"/>
          <w:szCs w:val="24"/>
        </w:rPr>
        <w:t>2.2.7  试验规则、标志、包装：</w:t>
      </w:r>
      <w:r>
        <w:rPr>
          <w:rFonts w:hint="eastAsia" w:ascii="仿宋" w:hAnsi="仿宋" w:eastAsia="仿宋"/>
          <w:sz w:val="24"/>
          <w:szCs w:val="24"/>
        </w:rPr>
        <w:t>按现行有效的国家标准和行业标准规定执行。</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 xml:space="preserve">3  </w:t>
      </w:r>
      <w:r>
        <w:rPr>
          <w:rFonts w:hint="eastAsia" w:ascii="仿宋" w:hAnsi="仿宋" w:eastAsia="仿宋" w:cs="楷体_GB2312"/>
          <w:b/>
          <w:bCs/>
          <w:sz w:val="24"/>
          <w:szCs w:val="24"/>
        </w:rPr>
        <w:t>主要试验（或验证）情况分析</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3.1 范围</w:t>
      </w:r>
    </w:p>
    <w:p>
      <w:pPr>
        <w:spacing w:line="360" w:lineRule="atLeast"/>
        <w:ind w:firstLine="465"/>
        <w:rPr>
          <w:rFonts w:ascii="仿宋" w:hAnsi="仿宋" w:eastAsia="仿宋" w:cs="楷体_GB2312"/>
          <w:sz w:val="24"/>
          <w:szCs w:val="24"/>
        </w:rPr>
      </w:pPr>
      <w:r>
        <w:rPr>
          <w:rFonts w:hint="eastAsia" w:ascii="仿宋" w:hAnsi="仿宋" w:eastAsia="仿宋" w:cs="楷体_GB2312"/>
          <w:sz w:val="24"/>
          <w:szCs w:val="24"/>
        </w:rPr>
        <w:t>本产品为莱赛尔纤维与锦纶混纺本色纱品种，莱赛尔纤维含量≥50%</w:t>
      </w:r>
      <w:r>
        <w:rPr>
          <w:rFonts w:hint="eastAsia" w:ascii="仿宋" w:hAnsi="仿宋" w:eastAsia="仿宋"/>
          <w:sz w:val="24"/>
          <w:szCs w:val="24"/>
        </w:rPr>
        <w:t>。</w:t>
      </w:r>
    </w:p>
    <w:p>
      <w:pPr>
        <w:spacing w:line="360" w:lineRule="atLeast"/>
        <w:ind w:right="480" w:firstLine="482" w:firstLineChars="200"/>
        <w:rPr>
          <w:rFonts w:ascii="仿宋" w:hAnsi="仿宋" w:eastAsia="仿宋"/>
          <w:b/>
          <w:sz w:val="24"/>
          <w:szCs w:val="24"/>
        </w:rPr>
      </w:pPr>
      <w:r>
        <w:rPr>
          <w:rFonts w:hint="eastAsia" w:ascii="仿宋" w:hAnsi="仿宋" w:eastAsia="仿宋"/>
          <w:b/>
          <w:sz w:val="24"/>
          <w:szCs w:val="24"/>
        </w:rPr>
        <w:t>3.2  线密度规格划分</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参照FZ/T</w:t>
      </w:r>
      <w:r>
        <w:rPr>
          <w:rFonts w:ascii="仿宋" w:hAnsi="仿宋" w:eastAsia="仿宋"/>
          <w:sz w:val="24"/>
          <w:szCs w:val="24"/>
        </w:rPr>
        <w:t xml:space="preserve"> </w:t>
      </w:r>
      <w:r>
        <w:rPr>
          <w:rFonts w:hint="eastAsia" w:ascii="仿宋" w:hAnsi="仿宋" w:eastAsia="仿宋"/>
          <w:sz w:val="24"/>
          <w:szCs w:val="24"/>
        </w:rPr>
        <w:t>12065-2020《莱赛尔与粘胶纤维混纺本色纱线》及生产实际，线密度划分按照8.1 tex～11.0tex、11.1 tex～13.0 tex、13.1 tex～16.0 tex、16.1 tex～20</w:t>
      </w:r>
      <w:r>
        <w:rPr>
          <w:rFonts w:ascii="仿宋" w:hAnsi="仿宋" w:eastAsia="仿宋"/>
          <w:sz w:val="24"/>
          <w:szCs w:val="24"/>
        </w:rPr>
        <w:t>.0</w:t>
      </w:r>
      <w:r>
        <w:rPr>
          <w:rFonts w:hint="eastAsia" w:ascii="仿宋" w:hAnsi="仿宋" w:eastAsia="仿宋"/>
          <w:sz w:val="24"/>
          <w:szCs w:val="24"/>
        </w:rPr>
        <w:t xml:space="preserve"> tex四档进行考核。</w:t>
      </w:r>
    </w:p>
    <w:p>
      <w:pPr>
        <w:spacing w:line="360" w:lineRule="atLeast"/>
        <w:ind w:right="480" w:firstLine="482" w:firstLineChars="200"/>
        <w:rPr>
          <w:rFonts w:ascii="仿宋" w:hAnsi="仿宋" w:eastAsia="仿宋"/>
          <w:b/>
          <w:sz w:val="24"/>
          <w:szCs w:val="24"/>
        </w:rPr>
      </w:pPr>
      <w:r>
        <w:rPr>
          <w:rFonts w:hint="eastAsia" w:ascii="仿宋" w:hAnsi="仿宋" w:eastAsia="仿宋"/>
          <w:b/>
          <w:sz w:val="24"/>
          <w:szCs w:val="24"/>
        </w:rPr>
        <w:t>3.3  各检测项目的确定</w:t>
      </w:r>
    </w:p>
    <w:p>
      <w:pPr>
        <w:spacing w:line="360" w:lineRule="atLeast"/>
        <w:ind w:firstLine="480" w:firstLineChars="200"/>
        <w:rPr>
          <w:rFonts w:ascii="仿宋" w:hAnsi="仿宋" w:eastAsia="仿宋"/>
          <w:b/>
          <w:sz w:val="24"/>
          <w:szCs w:val="24"/>
        </w:rPr>
      </w:pPr>
      <w:r>
        <w:rPr>
          <w:rFonts w:hint="eastAsia" w:ascii="仿宋" w:hAnsi="仿宋" w:eastAsia="仿宋" w:cs="Arial"/>
          <w:sz w:val="24"/>
          <w:szCs w:val="24"/>
        </w:rPr>
        <w:t>考核指标</w:t>
      </w:r>
      <w:r>
        <w:rPr>
          <w:rFonts w:hint="eastAsia" w:ascii="仿宋" w:hAnsi="仿宋" w:eastAsia="仿宋" w:cs="楷体_GB2312"/>
          <w:sz w:val="24"/>
          <w:szCs w:val="24"/>
        </w:rPr>
        <w:t>参照</w:t>
      </w:r>
      <w:r>
        <w:rPr>
          <w:rFonts w:hint="eastAsia" w:ascii="仿宋" w:hAnsi="仿宋" w:eastAsia="仿宋"/>
          <w:sz w:val="24"/>
          <w:szCs w:val="24"/>
        </w:rPr>
        <w:t>FZ/T</w:t>
      </w:r>
      <w:r>
        <w:rPr>
          <w:rFonts w:ascii="仿宋" w:hAnsi="仿宋" w:eastAsia="仿宋"/>
          <w:sz w:val="24"/>
          <w:szCs w:val="24"/>
        </w:rPr>
        <w:t xml:space="preserve"> </w:t>
      </w:r>
      <w:r>
        <w:rPr>
          <w:rFonts w:hint="eastAsia" w:ascii="仿宋" w:hAnsi="仿宋" w:eastAsia="仿宋"/>
          <w:sz w:val="24"/>
          <w:szCs w:val="24"/>
        </w:rPr>
        <w:t>12065-2020《莱赛尔与粘胶纤维混纺本色纱线》</w:t>
      </w:r>
      <w:r>
        <w:rPr>
          <w:rFonts w:hint="eastAsia" w:ascii="仿宋" w:hAnsi="仿宋" w:eastAsia="仿宋" w:cs="楷体_GB2312"/>
          <w:sz w:val="24"/>
          <w:szCs w:val="24"/>
        </w:rPr>
        <w:t>，结</w:t>
      </w:r>
      <w:r>
        <w:rPr>
          <w:rFonts w:hint="eastAsia" w:ascii="仿宋" w:hAnsi="仿宋" w:eastAsia="仿宋" w:cs="Arial"/>
          <w:sz w:val="24"/>
          <w:szCs w:val="24"/>
        </w:rPr>
        <w:t>合</w:t>
      </w:r>
      <w:r>
        <w:rPr>
          <w:rFonts w:hint="eastAsia" w:ascii="仿宋" w:hAnsi="仿宋" w:eastAsia="仿宋" w:cs="楷体_GB2312"/>
          <w:sz w:val="24"/>
          <w:szCs w:val="24"/>
        </w:rPr>
        <w:t>企业生产数据以及贸易要求确定。</w:t>
      </w:r>
    </w:p>
    <w:p>
      <w:pPr>
        <w:spacing w:line="360" w:lineRule="atLeast"/>
        <w:ind w:firstLine="360" w:firstLineChars="150"/>
        <w:rPr>
          <w:rFonts w:ascii="仿宋" w:hAnsi="仿宋" w:eastAsia="仿宋" w:cs="楷体_GB2312"/>
          <w:sz w:val="24"/>
          <w:szCs w:val="24"/>
        </w:rPr>
      </w:pPr>
      <w:r>
        <w:rPr>
          <w:rFonts w:ascii="仿宋" w:hAnsi="仿宋" w:eastAsia="仿宋" w:cs="楷体_GB2312"/>
          <w:sz w:val="24"/>
          <w:szCs w:val="24"/>
        </w:rPr>
        <w:t>——</w:t>
      </w:r>
      <w:r>
        <w:rPr>
          <w:rFonts w:hint="eastAsia" w:ascii="仿宋" w:hAnsi="仿宋" w:eastAsia="仿宋" w:cs="楷体_GB2312"/>
          <w:sz w:val="24"/>
          <w:szCs w:val="24"/>
        </w:rPr>
        <w:t>线密度偏差率：线密度是描述纱线粗细程度的指标，是纤维和纱线很重要的物理特性和几何特征之一，不仅影响纺织加工质量，而且还与织物的服用性能密切相关。线密度偏差的变化直接影响纱的粗细，进而影响强力和织物的平米克重、物理机械性能等。考核指标优等品为±2.0%、一等品为±2.5%、二等品为±3.0%。数据试套后，以</w:t>
      </w:r>
      <w:r>
        <w:rPr>
          <w:rFonts w:ascii="仿宋" w:hAnsi="仿宋" w:eastAsia="仿宋" w:cs="楷体_GB2312"/>
          <w:sz w:val="24"/>
          <w:szCs w:val="24"/>
        </w:rPr>
        <w:t>1</w:t>
      </w:r>
      <w:r>
        <w:rPr>
          <w:rFonts w:hint="eastAsia" w:ascii="仿宋" w:hAnsi="仿宋" w:eastAsia="仿宋" w:cs="楷体_GB2312"/>
          <w:sz w:val="24"/>
          <w:szCs w:val="24"/>
        </w:rPr>
        <w:t>4.8tex 为例,其中纱优等占94.8%，一等占5.2%，二等占0%。</w:t>
      </w:r>
    </w:p>
    <w:p>
      <w:pPr>
        <w:spacing w:line="360" w:lineRule="atLeast"/>
        <w:ind w:firstLine="360" w:firstLineChars="150"/>
        <w:rPr>
          <w:rFonts w:ascii="仿宋" w:hAnsi="仿宋" w:eastAsia="仿宋" w:cs="楷体_GB2312"/>
          <w:sz w:val="24"/>
          <w:szCs w:val="24"/>
        </w:rPr>
      </w:pPr>
      <w:r>
        <w:rPr>
          <w:rFonts w:ascii="仿宋" w:hAnsi="仿宋" w:eastAsia="仿宋" w:cs="楷体_GB2312"/>
          <w:sz w:val="24"/>
          <w:szCs w:val="24"/>
        </w:rPr>
        <w:t>——</w:t>
      </w:r>
      <w:r>
        <w:rPr>
          <w:rFonts w:hint="eastAsia" w:ascii="仿宋" w:hAnsi="仿宋" w:eastAsia="仿宋" w:cs="楷体_GB2312"/>
          <w:sz w:val="24"/>
          <w:szCs w:val="24"/>
        </w:rPr>
        <w:t>线密度变异系数：</w:t>
      </w:r>
      <w:r>
        <w:rPr>
          <w:rFonts w:hint="eastAsia" w:ascii="仿宋" w:hAnsi="仿宋" w:eastAsia="仿宋"/>
          <w:sz w:val="24"/>
        </w:rPr>
        <w:t>线密度变异系数是其他不匀的基础</w:t>
      </w:r>
      <w:r>
        <w:rPr>
          <w:rFonts w:hint="eastAsia" w:ascii="仿宋" w:hAnsi="仿宋" w:eastAsia="仿宋" w:cs="楷体_GB2312"/>
          <w:sz w:val="24"/>
          <w:szCs w:val="24"/>
        </w:rPr>
        <w:t>，数值越大，说明纱线差异越大，直接影响布面平整，控制好线密度变异系数CV%指标，可提高布面质量。具体要求：优等品为≤1.5%、一等品为≤2.5%、二等品为≤3.5%。验证数据表明：以14.8tex为例,优等占92.9%，一等占27.1%，二等占0%。</w:t>
      </w:r>
    </w:p>
    <w:p>
      <w:pPr>
        <w:spacing w:line="360" w:lineRule="atLeast"/>
        <w:ind w:firstLine="480" w:firstLineChars="200"/>
        <w:rPr>
          <w:rFonts w:ascii="仿宋" w:hAnsi="仿宋" w:eastAsia="仿宋" w:cs="楷体_GB2312"/>
          <w:sz w:val="24"/>
          <w:szCs w:val="24"/>
        </w:rPr>
      </w:pPr>
      <w:r>
        <w:rPr>
          <w:rFonts w:ascii="仿宋" w:hAnsi="仿宋" w:eastAsia="仿宋" w:cs="楷体_GB2312"/>
          <w:sz w:val="24"/>
          <w:szCs w:val="24"/>
        </w:rPr>
        <w:t>——</w:t>
      </w:r>
      <w:r>
        <w:rPr>
          <w:rFonts w:hint="eastAsia" w:ascii="仿宋" w:hAnsi="仿宋" w:eastAsia="仿宋" w:cs="楷体_GB2312"/>
          <w:sz w:val="24"/>
          <w:szCs w:val="24"/>
        </w:rPr>
        <w:t>单纱断裂强度：断裂强度是纱线断裂强力与其线密度的比值，是一种相对强力，更加有利于不同特数纱线之间进行强度的比较，比断裂强力更能准确描述纱线的可加工性能。以</w:t>
      </w:r>
      <w:r>
        <w:rPr>
          <w:rFonts w:ascii="仿宋" w:hAnsi="仿宋" w:eastAsia="仿宋" w:cs="楷体_GB2312"/>
          <w:sz w:val="24"/>
          <w:szCs w:val="24"/>
        </w:rPr>
        <w:t>1</w:t>
      </w:r>
      <w:r>
        <w:rPr>
          <w:rFonts w:hint="eastAsia" w:ascii="仿宋" w:hAnsi="仿宋" w:eastAsia="仿宋" w:cs="楷体_GB2312"/>
          <w:sz w:val="24"/>
          <w:szCs w:val="24"/>
        </w:rPr>
        <w:t>4.8tex为例，优等品为19.0</w:t>
      </w:r>
      <w:r>
        <w:rPr>
          <w:rFonts w:ascii="仿宋" w:hAnsi="仿宋" w:eastAsia="仿宋" w:cs="楷体_GB2312"/>
          <w:sz w:val="24"/>
          <w:szCs w:val="24"/>
        </w:rPr>
        <w:t>cN/tex</w:t>
      </w:r>
      <w:r>
        <w:rPr>
          <w:rFonts w:hint="eastAsia" w:ascii="仿宋" w:hAnsi="仿宋" w:eastAsia="仿宋" w:cs="楷体_GB2312"/>
          <w:sz w:val="24"/>
          <w:szCs w:val="24"/>
        </w:rPr>
        <w:t>、一等品为18.0</w:t>
      </w:r>
      <w:r>
        <w:rPr>
          <w:rFonts w:ascii="仿宋" w:hAnsi="仿宋" w:eastAsia="仿宋" w:cs="楷体_GB2312"/>
          <w:sz w:val="24"/>
          <w:szCs w:val="24"/>
        </w:rPr>
        <w:t>cN/tex</w:t>
      </w:r>
      <w:r>
        <w:rPr>
          <w:rFonts w:hint="eastAsia" w:ascii="仿宋" w:hAnsi="仿宋" w:eastAsia="仿宋" w:cs="楷体_GB2312"/>
          <w:sz w:val="24"/>
          <w:szCs w:val="24"/>
        </w:rPr>
        <w:t>、二等品为17.0</w:t>
      </w:r>
      <w:r>
        <w:rPr>
          <w:rFonts w:ascii="仿宋" w:hAnsi="仿宋" w:eastAsia="仿宋" w:cs="楷体_GB2312"/>
          <w:sz w:val="24"/>
          <w:szCs w:val="24"/>
        </w:rPr>
        <w:t>cN/tex</w:t>
      </w:r>
      <w:r>
        <w:rPr>
          <w:rFonts w:hint="eastAsia" w:ascii="仿宋" w:hAnsi="仿宋" w:eastAsia="仿宋" w:cs="楷体_GB2312"/>
          <w:sz w:val="24"/>
          <w:szCs w:val="24"/>
        </w:rPr>
        <w:t>，经验证：优等占90.1%，一等占7.8%，二等占2.1%。</w:t>
      </w:r>
    </w:p>
    <w:p>
      <w:pPr>
        <w:spacing w:line="360" w:lineRule="atLeast"/>
        <w:ind w:firstLine="360" w:firstLineChars="150"/>
        <w:rPr>
          <w:rFonts w:ascii="仿宋" w:hAnsi="仿宋" w:eastAsia="仿宋" w:cs="楷体_GB2312"/>
          <w:sz w:val="24"/>
          <w:szCs w:val="24"/>
        </w:rPr>
      </w:pPr>
      <w:r>
        <w:rPr>
          <w:rFonts w:ascii="仿宋" w:hAnsi="仿宋" w:eastAsia="仿宋" w:cs="楷体_GB2312"/>
          <w:sz w:val="24"/>
          <w:szCs w:val="24"/>
        </w:rPr>
        <w:t>——</w:t>
      </w:r>
      <w:r>
        <w:rPr>
          <w:rFonts w:hint="eastAsia" w:ascii="仿宋" w:hAnsi="仿宋" w:eastAsia="仿宋" w:cs="楷体_GB2312"/>
          <w:sz w:val="24"/>
          <w:szCs w:val="24"/>
        </w:rPr>
        <w:t>单纱断裂强力变异系数：控制单纱断裂强力变异系数，能更好地确保纱线强力均匀性。这既是满足纱线连续生产与保证纺织品加工正常进行的基础，也是保证纺织品能够正常使用的必要条件。考核指标以</w:t>
      </w:r>
      <w:r>
        <w:rPr>
          <w:rFonts w:ascii="仿宋" w:hAnsi="仿宋" w:eastAsia="仿宋" w:cs="楷体_GB2312"/>
          <w:sz w:val="24"/>
          <w:szCs w:val="24"/>
        </w:rPr>
        <w:t>1</w:t>
      </w:r>
      <w:r>
        <w:rPr>
          <w:rFonts w:hint="eastAsia" w:ascii="仿宋" w:hAnsi="仿宋" w:eastAsia="仿宋" w:cs="楷体_GB2312"/>
          <w:sz w:val="24"/>
          <w:szCs w:val="24"/>
        </w:rPr>
        <w:t>4.8tex为基准，优等品≤9.0%，一等品≤10.5%，二等品≤</w:t>
      </w:r>
      <w:r>
        <w:rPr>
          <w:rFonts w:ascii="仿宋" w:hAnsi="仿宋" w:eastAsia="仿宋" w:cs="楷体_GB2312"/>
          <w:sz w:val="24"/>
          <w:szCs w:val="24"/>
        </w:rPr>
        <w:t>1</w:t>
      </w:r>
      <w:r>
        <w:rPr>
          <w:rFonts w:hint="eastAsia" w:ascii="仿宋" w:hAnsi="仿宋" w:eastAsia="仿宋" w:cs="楷体_GB2312"/>
          <w:sz w:val="24"/>
          <w:szCs w:val="24"/>
        </w:rPr>
        <w:t>2.0%。经验证：优等占100%，一等占0%，二等占0%。</w:t>
      </w:r>
    </w:p>
    <w:p>
      <w:pPr>
        <w:spacing w:line="360" w:lineRule="atLeast"/>
        <w:ind w:firstLine="360" w:firstLineChars="150"/>
        <w:rPr>
          <w:rFonts w:ascii="仿宋" w:hAnsi="仿宋" w:eastAsia="仿宋" w:cs="楷体_GB2312"/>
          <w:sz w:val="24"/>
          <w:szCs w:val="24"/>
        </w:rPr>
      </w:pPr>
      <w:r>
        <w:rPr>
          <w:rFonts w:ascii="仿宋" w:hAnsi="仿宋" w:eastAsia="仿宋" w:cs="楷体_GB2312"/>
          <w:sz w:val="24"/>
          <w:szCs w:val="24"/>
        </w:rPr>
        <w:t>——</w:t>
      </w:r>
      <w:r>
        <w:rPr>
          <w:rFonts w:hint="eastAsia" w:ascii="仿宋" w:hAnsi="仿宋" w:eastAsia="仿宋" w:cs="楷体_GB2312"/>
          <w:sz w:val="24"/>
          <w:szCs w:val="24"/>
        </w:rPr>
        <w:t>条干均匀度变异系数：纺织品的质量在很大程度上取决于纱线条干均匀度，即纱线质量的均匀性和稳定性。条干不匀会造成下工序的断头，影响生产效率，造成布面疵点和感观差异，阴影、色档等，影响机械、物理性能。因此，必须降低纱线条干不匀，以满足下工序质量和客户需要。以</w:t>
      </w:r>
      <w:r>
        <w:rPr>
          <w:rFonts w:ascii="仿宋" w:hAnsi="仿宋" w:eastAsia="仿宋" w:cs="楷体_GB2312"/>
          <w:sz w:val="24"/>
          <w:szCs w:val="24"/>
        </w:rPr>
        <w:t>1</w:t>
      </w:r>
      <w:r>
        <w:rPr>
          <w:rFonts w:hint="eastAsia" w:ascii="仿宋" w:hAnsi="仿宋" w:eastAsia="仿宋" w:cs="楷体_GB2312"/>
          <w:sz w:val="24"/>
          <w:szCs w:val="24"/>
        </w:rPr>
        <w:t>4.8tex为例,优等品≤11.5%，一等品≤13.0%，二等品≤14.5%。经验证：优等占90.6%，一等占9.4%，二等占0%。</w:t>
      </w:r>
    </w:p>
    <w:p>
      <w:pPr>
        <w:spacing w:line="360" w:lineRule="atLeast"/>
        <w:ind w:firstLine="480" w:firstLineChars="200"/>
        <w:rPr>
          <w:rFonts w:ascii="仿宋" w:hAnsi="仿宋" w:eastAsia="仿宋" w:cs="楷体_GB2312"/>
          <w:sz w:val="24"/>
          <w:szCs w:val="24"/>
        </w:rPr>
      </w:pPr>
      <w:r>
        <w:rPr>
          <w:rFonts w:ascii="仿宋" w:hAnsi="仿宋" w:eastAsia="仿宋" w:cs="楷体_GB2312"/>
          <w:sz w:val="24"/>
          <w:szCs w:val="24"/>
        </w:rPr>
        <w:t>——千米</w:t>
      </w:r>
      <w:r>
        <w:rPr>
          <w:rFonts w:hint="eastAsia" w:ascii="仿宋" w:hAnsi="仿宋" w:eastAsia="仿宋" w:cs="楷体_GB2312"/>
          <w:sz w:val="24"/>
          <w:szCs w:val="24"/>
        </w:rPr>
        <w:t>棉结（+</w:t>
      </w:r>
      <w:r>
        <w:rPr>
          <w:rFonts w:ascii="仿宋" w:hAnsi="仿宋" w:eastAsia="仿宋" w:cs="楷体_GB2312"/>
          <w:sz w:val="24"/>
          <w:szCs w:val="24"/>
        </w:rPr>
        <w:t>200</w:t>
      </w:r>
      <w:r>
        <w:rPr>
          <w:rFonts w:hint="eastAsia" w:ascii="仿宋" w:hAnsi="仿宋" w:eastAsia="仿宋" w:cs="楷体_GB2312"/>
          <w:sz w:val="24"/>
          <w:szCs w:val="24"/>
        </w:rPr>
        <w:t>%）：千米棉结在布面上容易出现明显的布面疵点，横条纹、云斑等，不仅影响外观，也影响条干质量，棉结在高速整经机、织机工作时易断头；易在坯布上产生疵点；印染加工中，易染色不匀产生白星等疵点，对布面质量影响较大。以</w:t>
      </w:r>
      <w:r>
        <w:rPr>
          <w:rFonts w:ascii="仿宋" w:hAnsi="仿宋" w:eastAsia="仿宋" w:cs="楷体_GB2312"/>
          <w:sz w:val="24"/>
          <w:szCs w:val="24"/>
        </w:rPr>
        <w:t>1</w:t>
      </w:r>
      <w:r>
        <w:rPr>
          <w:rFonts w:hint="eastAsia" w:ascii="仿宋" w:hAnsi="仿宋" w:eastAsia="仿宋" w:cs="楷体_GB2312"/>
          <w:sz w:val="24"/>
          <w:szCs w:val="24"/>
        </w:rPr>
        <w:t>4.8tex为基准，优等品≤45个/km、一等品≤60个/km、二等品≤75个/km；其中优等占95.8%，一等占4.2%，二等占0%。</w:t>
      </w:r>
    </w:p>
    <w:p>
      <w:pPr>
        <w:spacing w:line="360" w:lineRule="atLeast"/>
        <w:ind w:firstLine="480" w:firstLineChars="200"/>
        <w:rPr>
          <w:rFonts w:ascii="仿宋" w:hAnsi="仿宋" w:eastAsia="仿宋" w:cs="楷体_GB2312"/>
          <w:sz w:val="24"/>
          <w:szCs w:val="24"/>
        </w:rPr>
      </w:pPr>
      <w:r>
        <w:rPr>
          <w:rFonts w:hint="eastAsia" w:ascii="仿宋" w:hAnsi="仿宋" w:eastAsia="仿宋" w:cs="楷体_GB2312"/>
          <w:sz w:val="24"/>
          <w:szCs w:val="24"/>
        </w:rPr>
        <w:t>——十万米纱疵：</w:t>
      </w:r>
      <w:r>
        <w:rPr>
          <w:rFonts w:hint="eastAsia" w:ascii="仿宋" w:hAnsi="仿宋" w:eastAsia="仿宋"/>
          <w:sz w:val="24"/>
          <w:szCs w:val="24"/>
        </w:rPr>
        <w:t>是衡量纱线质量的重要指标，不同组织结构的织物，对纱疵有不同的要求。为了更好地指导纺纱生产和织造更高质量的织物，必须对纱疵作细致的分析研究，将十万米纱疵的分级及数量与不同质量要求的纱线和织物紧密联系起来，以便提供质量控制的依据、有效控制偶发性纱疵对于减少整经断头，提高织机效率。</w:t>
      </w:r>
      <w:r>
        <w:rPr>
          <w:rFonts w:hint="eastAsia" w:ascii="仿宋" w:hAnsi="仿宋" w:eastAsia="仿宋" w:cs="楷体_GB2312"/>
          <w:sz w:val="24"/>
          <w:szCs w:val="24"/>
        </w:rPr>
        <w:t>以</w:t>
      </w:r>
      <w:r>
        <w:rPr>
          <w:rFonts w:ascii="仿宋" w:hAnsi="仿宋" w:eastAsia="仿宋" w:cs="楷体_GB2312"/>
          <w:sz w:val="24"/>
          <w:szCs w:val="24"/>
        </w:rPr>
        <w:t>14.8</w:t>
      </w:r>
      <w:r>
        <w:rPr>
          <w:rFonts w:hint="eastAsia" w:ascii="仿宋" w:hAnsi="仿宋" w:eastAsia="仿宋" w:cs="楷体_GB2312"/>
          <w:sz w:val="24"/>
          <w:szCs w:val="24"/>
        </w:rPr>
        <w:t>tex为基准，优等品≤8个/10</w:t>
      </w:r>
      <w:r>
        <w:rPr>
          <w:rFonts w:hint="eastAsia" w:ascii="仿宋" w:hAnsi="仿宋" w:eastAsia="仿宋" w:cs="楷体_GB2312"/>
          <w:sz w:val="24"/>
          <w:szCs w:val="24"/>
          <w:vertAlign w:val="superscript"/>
        </w:rPr>
        <w:t>5</w:t>
      </w:r>
      <w:r>
        <w:rPr>
          <w:rFonts w:hint="eastAsia" w:ascii="仿宋" w:hAnsi="仿宋" w:eastAsia="仿宋" w:cs="楷体_GB2312"/>
          <w:sz w:val="24"/>
          <w:szCs w:val="24"/>
        </w:rPr>
        <w:t>m、一等品≤15个/10</w:t>
      </w:r>
      <w:r>
        <w:rPr>
          <w:rFonts w:hint="eastAsia" w:ascii="仿宋" w:hAnsi="仿宋" w:eastAsia="仿宋" w:cs="楷体_GB2312"/>
          <w:sz w:val="24"/>
          <w:szCs w:val="24"/>
          <w:vertAlign w:val="superscript"/>
        </w:rPr>
        <w:t>5</w:t>
      </w:r>
      <w:r>
        <w:rPr>
          <w:rFonts w:hint="eastAsia" w:ascii="仿宋" w:hAnsi="仿宋" w:eastAsia="仿宋" w:cs="楷体_GB2312"/>
          <w:sz w:val="24"/>
          <w:szCs w:val="24"/>
        </w:rPr>
        <w:t>m；其中优等占96.9%，一等占3.1%。</w:t>
      </w:r>
    </w:p>
    <w:p>
      <w:pPr>
        <w:spacing w:line="360" w:lineRule="atLeast"/>
        <w:ind w:firstLine="480" w:firstLineChars="200"/>
        <w:rPr>
          <w:rFonts w:hint="eastAsia" w:ascii="仿宋" w:hAnsi="仿宋" w:eastAsia="仿宋" w:cs="楷体_GB2312"/>
          <w:sz w:val="24"/>
          <w:szCs w:val="24"/>
        </w:rPr>
      </w:pPr>
      <w:r>
        <w:rPr>
          <w:rFonts w:hint="eastAsia" w:ascii="仿宋" w:hAnsi="仿宋" w:eastAsia="仿宋" w:cs="楷体_GB2312"/>
          <w:sz w:val="24"/>
          <w:szCs w:val="24"/>
        </w:rPr>
        <w:t>以上指标具体要求按表1。</w:t>
      </w:r>
    </w:p>
    <w:p>
      <w:pPr>
        <w:spacing w:line="360" w:lineRule="atLeast"/>
        <w:ind w:firstLine="480" w:firstLineChars="200"/>
        <w:rPr>
          <w:rFonts w:hint="eastAsia" w:ascii="仿宋" w:hAnsi="仿宋" w:eastAsia="仿宋" w:cs="楷体_GB2312"/>
          <w:sz w:val="24"/>
          <w:szCs w:val="24"/>
        </w:rPr>
      </w:pPr>
      <w:r>
        <w:rPr>
          <w:rFonts w:hint="eastAsia" w:ascii="仿宋" w:hAnsi="仿宋" w:eastAsia="仿宋" w:cs="楷体_GB2312"/>
          <w:sz w:val="24"/>
          <w:szCs w:val="24"/>
        </w:rPr>
        <w:t>——纤维含量偏差：</w:t>
      </w:r>
      <w:r>
        <w:rPr>
          <w:rFonts w:hint="eastAsia" w:ascii="仿宋" w:hAnsi="仿宋" w:eastAsia="仿宋" w:cs="楷体_GB2312"/>
          <w:sz w:val="24"/>
          <w:szCs w:val="24"/>
          <w:lang w:val="en-US" w:eastAsia="zh-CN"/>
        </w:rPr>
        <w:t>是指实测的混纺纤维含量值与设计或标识的混纺纤维含量值的偏差，尽管纱线根据纺织品类型和用途还需要经过很多后加工及后整理，但纱线的纤维含量基本奠定了纺织品纤维含量的基础。</w:t>
      </w:r>
      <w:r>
        <w:rPr>
          <w:rFonts w:hint="eastAsia" w:ascii="仿宋" w:hAnsi="仿宋" w:eastAsia="仿宋" w:cs="楷体_GB2312"/>
          <w:sz w:val="24"/>
          <w:szCs w:val="24"/>
        </w:rPr>
        <w:t>纤维含量偏差是衡量纱线混纺比例的重要指标，直接影响纱线的指标、布面的风格。莱赛尔纤维与锦纶混纺本色纱</w:t>
      </w:r>
      <w:r>
        <w:rPr>
          <w:rFonts w:hint="eastAsia" w:ascii="仿宋" w:hAnsi="仿宋" w:eastAsia="仿宋"/>
          <w:sz w:val="24"/>
          <w:szCs w:val="24"/>
          <w:lang w:val="en-US" w:eastAsia="zh-CN"/>
        </w:rPr>
        <w:t>纤维</w:t>
      </w:r>
      <w:r>
        <w:rPr>
          <w:rFonts w:hint="eastAsia" w:ascii="仿宋" w:hAnsi="仿宋" w:eastAsia="仿宋" w:cs="楷体_GB2312"/>
          <w:sz w:val="24"/>
          <w:szCs w:val="24"/>
        </w:rPr>
        <w:t>含量允许偏差为</w:t>
      </w:r>
      <w:r>
        <w:rPr>
          <w:rFonts w:hint="eastAsia" w:ascii="仿宋" w:hAnsi="仿宋" w:eastAsia="仿宋" w:cs="楷体_GB2312"/>
          <w:sz w:val="24"/>
          <w:szCs w:val="24"/>
          <w:lang w:val="en-US" w:eastAsia="zh-CN"/>
        </w:rPr>
        <w:t>±2.0</w:t>
      </w:r>
      <w:r>
        <w:rPr>
          <w:rFonts w:hint="eastAsia" w:ascii="仿宋" w:hAnsi="仿宋" w:eastAsia="仿宋" w:cs="楷体_GB2312"/>
          <w:sz w:val="24"/>
          <w:szCs w:val="24"/>
        </w:rPr>
        <w:t>%。</w:t>
      </w:r>
    </w:p>
    <w:p>
      <w:pPr>
        <w:spacing w:line="360" w:lineRule="atLeast"/>
        <w:jc w:val="center"/>
        <w:rPr>
          <w:rFonts w:ascii="仿宋" w:hAnsi="仿宋" w:eastAsia="仿宋"/>
          <w:sz w:val="24"/>
          <w:szCs w:val="24"/>
        </w:rPr>
      </w:pPr>
      <w:r>
        <w:rPr>
          <w:rFonts w:hint="eastAsia" w:ascii="仿宋" w:hAnsi="仿宋" w:eastAsia="仿宋"/>
          <w:sz w:val="24"/>
          <w:szCs w:val="24"/>
        </w:rPr>
        <w:t xml:space="preserve">表1  </w:t>
      </w:r>
      <w:r>
        <w:rPr>
          <w:rFonts w:hint="eastAsia" w:ascii="仿宋" w:hAnsi="仿宋" w:eastAsia="仿宋" w:cs="楷体_GB2312"/>
          <w:sz w:val="24"/>
          <w:szCs w:val="24"/>
        </w:rPr>
        <w:t>莱赛尔纤维与锦纶混纺本色纱</w:t>
      </w:r>
      <w:r>
        <w:rPr>
          <w:rFonts w:hint="eastAsia" w:ascii="仿宋" w:hAnsi="仿宋" w:eastAsia="仿宋"/>
          <w:sz w:val="24"/>
          <w:szCs w:val="24"/>
        </w:rPr>
        <w:t>的技术要求</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11"/>
        <w:gridCol w:w="994"/>
        <w:gridCol w:w="1008"/>
        <w:gridCol w:w="999"/>
        <w:gridCol w:w="1032"/>
        <w:gridCol w:w="1004"/>
        <w:gridCol w:w="1004"/>
        <w:gridCol w:w="1023"/>
        <w:gridCol w:w="10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036" w:type="dxa"/>
            <w:tcBorders>
              <w:top w:val="single" w:color="auto" w:sz="8" w:space="0"/>
              <w:left w:val="single" w:color="auto" w:sz="8"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公称线密度/tex</w:t>
            </w:r>
          </w:p>
        </w:tc>
        <w:tc>
          <w:tcPr>
            <w:tcW w:w="1036"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等级</w:t>
            </w:r>
          </w:p>
        </w:tc>
        <w:tc>
          <w:tcPr>
            <w:tcW w:w="1037"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线密度偏差率/%</w:t>
            </w:r>
          </w:p>
        </w:tc>
        <w:tc>
          <w:tcPr>
            <w:tcW w:w="1037"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线密度变异系数/%</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c>
          <w:tcPr>
            <w:tcW w:w="1038"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单纱断裂强度/（cN/tex）≥</w:t>
            </w:r>
          </w:p>
        </w:tc>
        <w:tc>
          <w:tcPr>
            <w:tcW w:w="1037"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 xml:space="preserve">单纱断裂强力变异系数/%  </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c>
          <w:tcPr>
            <w:tcW w:w="1037"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条干均匀度变异系数/%≤</w:t>
            </w:r>
          </w:p>
        </w:tc>
        <w:tc>
          <w:tcPr>
            <w:tcW w:w="1038" w:type="dxa"/>
            <w:tcBorders>
              <w:top w:val="single" w:color="auto" w:sz="8"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千米棉结(+200%)/（个/km）</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c>
          <w:tcPr>
            <w:tcW w:w="1038" w:type="dxa"/>
            <w:tcBorders>
              <w:top w:val="single" w:color="auto" w:sz="8" w:space="0"/>
              <w:left w:val="single" w:color="auto" w:sz="4" w:space="0"/>
              <w:bottom w:val="single" w:color="auto" w:sz="8" w:space="0"/>
              <w:right w:val="single" w:color="auto" w:sz="8" w:space="0"/>
            </w:tcBorders>
            <w:shd w:val="clear" w:color="auto" w:fill="auto"/>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十万米纱疵/（个/10</w:t>
            </w:r>
            <w:r>
              <w:rPr>
                <w:rFonts w:hint="eastAsia" w:ascii="仿宋" w:hAnsi="仿宋" w:eastAsia="仿宋" w:cs="仿宋"/>
                <w:kern w:val="0"/>
                <w:sz w:val="18"/>
                <w:szCs w:val="20"/>
                <w:vertAlign w:val="superscript"/>
                <w:lang w:bidi="ar"/>
              </w:rPr>
              <w:t>5</w:t>
            </w:r>
            <w:r>
              <w:rPr>
                <w:rFonts w:hint="eastAsia" w:ascii="仿宋" w:hAnsi="仿宋" w:eastAsia="仿宋" w:cs="仿宋"/>
                <w:kern w:val="0"/>
                <w:sz w:val="18"/>
                <w:szCs w:val="20"/>
                <w:lang w:bidi="ar"/>
              </w:rPr>
              <w:t>m）</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tcBorders>
              <w:top w:val="single" w:color="auto" w:sz="8" w:space="0"/>
              <w:left w:val="single" w:color="auto" w:sz="8" w:space="0"/>
              <w:bottom w:val="single" w:color="auto" w:sz="4" w:space="0"/>
              <w:right w:val="single" w:color="auto" w:sz="4" w:space="0"/>
            </w:tcBorders>
            <w:shd w:val="clear" w:color="auto" w:fill="auto"/>
            <w:vAlign w:val="center"/>
          </w:tcPr>
          <w:p>
            <w:pPr>
              <w:pStyle w:val="7"/>
              <w:widowControl/>
              <w:jc w:val="center"/>
              <w:outlineLvl w:val="3"/>
              <w:rPr>
                <w:rFonts w:ascii="仿宋" w:hAnsi="仿宋" w:eastAsia="仿宋" w:cs="仿宋"/>
                <w:sz w:val="18"/>
                <w:szCs w:val="20"/>
              </w:rPr>
            </w:pPr>
            <w:r>
              <w:rPr>
                <w:rFonts w:hint="eastAsia" w:ascii="仿宋" w:hAnsi="仿宋" w:eastAsia="仿宋" w:cs="仿宋"/>
                <w:kern w:val="0"/>
                <w:sz w:val="18"/>
                <w:szCs w:val="20"/>
                <w:lang w:bidi="ar"/>
              </w:rPr>
              <w:t>8.1～11.0</w:t>
            </w:r>
          </w:p>
        </w:tc>
        <w:tc>
          <w:tcPr>
            <w:tcW w:w="1036"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优</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一</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二</w:t>
            </w:r>
          </w:p>
        </w:tc>
        <w:tc>
          <w:tcPr>
            <w:tcW w:w="1037"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±3.0</w:t>
            </w:r>
          </w:p>
        </w:tc>
        <w:tc>
          <w:tcPr>
            <w:tcW w:w="1037"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3.5</w:t>
            </w:r>
          </w:p>
        </w:tc>
        <w:tc>
          <w:tcPr>
            <w:tcW w:w="1038"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18.5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17.5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16.5</w:t>
            </w:r>
          </w:p>
        </w:tc>
        <w:tc>
          <w:tcPr>
            <w:tcW w:w="1037"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10.0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13.0</w:t>
            </w:r>
          </w:p>
        </w:tc>
        <w:tc>
          <w:tcPr>
            <w:tcW w:w="1037"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14.0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15.5</w:t>
            </w:r>
          </w:p>
        </w:tc>
        <w:tc>
          <w:tcPr>
            <w:tcW w:w="1038" w:type="dxa"/>
            <w:tcBorders>
              <w:top w:val="single" w:color="auto" w:sz="8"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55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70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85</w:t>
            </w:r>
          </w:p>
        </w:tc>
        <w:tc>
          <w:tcPr>
            <w:tcW w:w="1038" w:type="dxa"/>
            <w:tcBorders>
              <w:top w:val="single" w:color="auto" w:sz="8" w:space="0"/>
              <w:left w:val="single" w:color="auto" w:sz="4" w:space="0"/>
              <w:bottom w:val="single" w:color="auto" w:sz="4" w:space="0"/>
              <w:right w:val="single" w:color="auto" w:sz="8" w:space="0"/>
            </w:tcBorders>
            <w:shd w:val="clear" w:color="auto" w:fill="auto"/>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7"/>
              <w:widowControl/>
              <w:jc w:val="center"/>
              <w:outlineLvl w:val="3"/>
              <w:rPr>
                <w:rFonts w:ascii="仿宋" w:hAnsi="仿宋" w:eastAsia="仿宋" w:cs="仿宋"/>
                <w:sz w:val="18"/>
                <w:szCs w:val="20"/>
              </w:rPr>
            </w:pPr>
            <w:r>
              <w:rPr>
                <w:rFonts w:hint="eastAsia" w:ascii="仿宋" w:hAnsi="仿宋" w:eastAsia="仿宋" w:cs="仿宋"/>
                <w:kern w:val="0"/>
                <w:sz w:val="18"/>
                <w:szCs w:val="20"/>
                <w:lang w:bidi="ar"/>
              </w:rPr>
              <w:t>11.1～13.0</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优</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一</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二</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±3.0</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3.5</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18.5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17.5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16.5</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9.5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11.0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12.5</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13.5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15.0</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50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65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80</w:t>
            </w:r>
          </w:p>
        </w:tc>
        <w:tc>
          <w:tcPr>
            <w:tcW w:w="1038" w:type="dxa"/>
            <w:tcBorders>
              <w:top w:val="single" w:color="auto" w:sz="4" w:space="0"/>
              <w:left w:val="single" w:color="auto" w:sz="4" w:space="0"/>
              <w:bottom w:val="single" w:color="auto" w:sz="4" w:space="0"/>
              <w:right w:val="single" w:color="auto" w:sz="8" w:space="0"/>
            </w:tcBorders>
            <w:shd w:val="clear" w:color="auto" w:fill="auto"/>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tcBorders>
              <w:top w:val="single" w:color="auto" w:sz="4" w:space="0"/>
              <w:left w:val="single" w:color="auto" w:sz="8" w:space="0"/>
              <w:bottom w:val="single" w:color="auto" w:sz="4" w:space="0"/>
              <w:right w:val="single" w:color="auto" w:sz="4" w:space="0"/>
            </w:tcBorders>
            <w:shd w:val="clear" w:color="auto" w:fill="auto"/>
            <w:vAlign w:val="center"/>
          </w:tcPr>
          <w:p>
            <w:pPr>
              <w:pStyle w:val="7"/>
              <w:widowControl/>
              <w:jc w:val="center"/>
              <w:rPr>
                <w:rFonts w:ascii="仿宋" w:hAnsi="仿宋" w:eastAsia="仿宋" w:cs="仿宋"/>
                <w:kern w:val="0"/>
                <w:sz w:val="18"/>
                <w:szCs w:val="20"/>
              </w:rPr>
            </w:pPr>
            <w:r>
              <w:rPr>
                <w:rFonts w:hint="eastAsia" w:ascii="仿宋" w:hAnsi="仿宋" w:eastAsia="仿宋" w:cs="仿宋"/>
                <w:kern w:val="0"/>
                <w:sz w:val="18"/>
                <w:szCs w:val="20"/>
                <w:lang w:bidi="ar"/>
              </w:rPr>
              <w:t>13.1</w:t>
            </w:r>
            <w:r>
              <w:rPr>
                <w:rFonts w:hint="eastAsia" w:ascii="仿宋" w:hAnsi="仿宋" w:eastAsia="仿宋" w:cs="仿宋"/>
                <w:sz w:val="18"/>
                <w:szCs w:val="20"/>
                <w:lang w:bidi="ar"/>
              </w:rPr>
              <w:t>～</w:t>
            </w:r>
            <w:r>
              <w:rPr>
                <w:rFonts w:hint="eastAsia" w:ascii="仿宋" w:hAnsi="仿宋" w:eastAsia="仿宋" w:cs="仿宋"/>
                <w:kern w:val="0"/>
                <w:sz w:val="18"/>
                <w:szCs w:val="20"/>
                <w:lang w:bidi="ar"/>
              </w:rPr>
              <w:t>16.0</w:t>
            </w:r>
          </w:p>
        </w:tc>
        <w:tc>
          <w:tcPr>
            <w:tcW w:w="10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优</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一</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二</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±3.0</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3.5</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19.0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18.0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17.0</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9.0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10.5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12.0</w:t>
            </w:r>
          </w:p>
        </w:tc>
        <w:tc>
          <w:tcPr>
            <w:tcW w:w="103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13.0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14.5</w:t>
            </w:r>
          </w:p>
        </w:tc>
        <w:tc>
          <w:tcPr>
            <w:tcW w:w="103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45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60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75</w:t>
            </w:r>
          </w:p>
        </w:tc>
        <w:tc>
          <w:tcPr>
            <w:tcW w:w="1038" w:type="dxa"/>
            <w:tcBorders>
              <w:top w:val="single" w:color="auto" w:sz="4" w:space="0"/>
              <w:left w:val="single" w:color="auto" w:sz="4" w:space="0"/>
              <w:bottom w:val="single" w:color="auto" w:sz="4" w:space="0"/>
              <w:right w:val="single" w:color="auto" w:sz="8" w:space="0"/>
            </w:tcBorders>
            <w:shd w:val="clear" w:color="auto" w:fill="auto"/>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8</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036" w:type="dxa"/>
            <w:tcBorders>
              <w:top w:val="single" w:color="auto" w:sz="4" w:space="0"/>
              <w:left w:val="single" w:color="auto" w:sz="8" w:space="0"/>
              <w:bottom w:val="single" w:color="auto" w:sz="8" w:space="0"/>
              <w:right w:val="single" w:color="auto" w:sz="4" w:space="0"/>
            </w:tcBorders>
            <w:shd w:val="clear" w:color="auto" w:fill="auto"/>
            <w:vAlign w:val="center"/>
          </w:tcPr>
          <w:p>
            <w:pPr>
              <w:pStyle w:val="7"/>
              <w:widowControl/>
              <w:jc w:val="center"/>
              <w:outlineLvl w:val="3"/>
              <w:rPr>
                <w:rFonts w:ascii="仿宋" w:hAnsi="仿宋" w:eastAsia="仿宋" w:cs="仿宋"/>
                <w:sz w:val="18"/>
                <w:szCs w:val="20"/>
              </w:rPr>
            </w:pPr>
            <w:r>
              <w:rPr>
                <w:rFonts w:hint="eastAsia" w:ascii="仿宋" w:hAnsi="仿宋" w:eastAsia="仿宋" w:cs="仿宋"/>
                <w:kern w:val="0"/>
                <w:sz w:val="18"/>
                <w:szCs w:val="20"/>
                <w:lang w:bidi="ar"/>
              </w:rPr>
              <w:t>16.1～20.0</w:t>
            </w:r>
          </w:p>
        </w:tc>
        <w:tc>
          <w:tcPr>
            <w:tcW w:w="1036"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优</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一</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二</w:t>
            </w:r>
          </w:p>
        </w:tc>
        <w:tc>
          <w:tcPr>
            <w:tcW w:w="1037"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±3.0</w:t>
            </w:r>
          </w:p>
        </w:tc>
        <w:tc>
          <w:tcPr>
            <w:tcW w:w="1037"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2.5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3.5</w:t>
            </w:r>
          </w:p>
        </w:tc>
        <w:tc>
          <w:tcPr>
            <w:tcW w:w="1038"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19.0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18.0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17.0</w:t>
            </w:r>
          </w:p>
        </w:tc>
        <w:tc>
          <w:tcPr>
            <w:tcW w:w="1037"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8.5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10.0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11.5</w:t>
            </w:r>
          </w:p>
        </w:tc>
        <w:tc>
          <w:tcPr>
            <w:tcW w:w="1037"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11.0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12.0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13.0</w:t>
            </w:r>
          </w:p>
        </w:tc>
        <w:tc>
          <w:tcPr>
            <w:tcW w:w="1038" w:type="dxa"/>
            <w:tcBorders>
              <w:top w:val="single" w:color="auto" w:sz="4" w:space="0"/>
              <w:left w:val="single" w:color="auto" w:sz="4" w:space="0"/>
              <w:bottom w:val="single" w:color="auto" w:sz="8" w:space="0"/>
              <w:right w:val="single" w:color="auto" w:sz="4" w:space="0"/>
            </w:tcBorders>
            <w:shd w:val="clear" w:color="auto" w:fill="auto"/>
            <w:vAlign w:val="center"/>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35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50</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65</w:t>
            </w:r>
          </w:p>
        </w:tc>
        <w:tc>
          <w:tcPr>
            <w:tcW w:w="1038" w:type="dxa"/>
            <w:tcBorders>
              <w:top w:val="single" w:color="auto" w:sz="4" w:space="0"/>
              <w:left w:val="single" w:color="auto" w:sz="4" w:space="0"/>
              <w:bottom w:val="single" w:color="auto" w:sz="8" w:space="0"/>
              <w:right w:val="single" w:color="auto" w:sz="8" w:space="0"/>
            </w:tcBorders>
            <w:shd w:val="clear" w:color="auto" w:fill="auto"/>
          </w:tcPr>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8</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15</w:t>
            </w:r>
          </w:p>
          <w:p>
            <w:pPr>
              <w:pStyle w:val="7"/>
              <w:widowControl/>
              <w:autoSpaceDE w:val="0"/>
              <w:autoSpaceDN w:val="0"/>
              <w:jc w:val="center"/>
              <w:rPr>
                <w:rFonts w:ascii="仿宋" w:hAnsi="仿宋" w:eastAsia="仿宋" w:cs="仿宋"/>
              </w:rPr>
            </w:pPr>
            <w:r>
              <w:rPr>
                <w:rFonts w:hint="eastAsia" w:ascii="仿宋" w:hAnsi="仿宋" w:eastAsia="仿宋" w:cs="仿宋"/>
                <w:kern w:val="0"/>
                <w:sz w:val="18"/>
                <w:szCs w:val="20"/>
                <w:lang w:bidi="ar"/>
              </w:rPr>
              <w:t>-</w:t>
            </w:r>
          </w:p>
        </w:tc>
      </w:tr>
    </w:tbl>
    <w:p>
      <w:pPr>
        <w:jc w:val="center"/>
        <w:rPr>
          <w:rFonts w:ascii="仿宋" w:hAnsi="仿宋" w:eastAsia="仿宋" w:cs="仿宋"/>
          <w:sz w:val="24"/>
        </w:rPr>
      </w:pPr>
    </w:p>
    <w:p>
      <w:pPr>
        <w:spacing w:line="360" w:lineRule="atLeast"/>
        <w:ind w:firstLine="480" w:firstLineChars="200"/>
        <w:rPr>
          <w:rFonts w:ascii="仿宋" w:hAnsi="仿宋" w:eastAsia="仿宋" w:cs="楷体_GB2312"/>
          <w:sz w:val="24"/>
          <w:szCs w:val="24"/>
        </w:rPr>
      </w:pPr>
      <w:r>
        <w:rPr>
          <w:rFonts w:hint="eastAsia" w:ascii="仿宋" w:hAnsi="仿宋" w:eastAsia="仿宋" w:cs="楷体_GB2312"/>
          <w:sz w:val="24"/>
          <w:szCs w:val="24"/>
        </w:rPr>
        <w:t>整理本企业所纺同类产品的试验数据，本着提高产品质量，符合实际生产水平，参考同类产品标准评等品率，对纱线各指标进行试套。莱赛尔纤维与锦纶混纺本色纱试套数据见表2</w:t>
      </w:r>
      <w:r>
        <w:rPr>
          <w:rFonts w:hint="eastAsia" w:ascii="仿宋" w:hAnsi="仿宋" w:eastAsia="仿宋" w:cs="楷体_GB2312"/>
          <w:sz w:val="24"/>
          <w:szCs w:val="24"/>
          <w:lang w:val="en-US" w:eastAsia="zh-CN"/>
        </w:rPr>
        <w:t>和表3</w:t>
      </w:r>
      <w:r>
        <w:rPr>
          <w:rFonts w:hint="eastAsia" w:ascii="仿宋" w:hAnsi="仿宋" w:eastAsia="仿宋" w:cs="楷体_GB2312"/>
          <w:sz w:val="24"/>
          <w:szCs w:val="24"/>
        </w:rPr>
        <w:t>。</w:t>
      </w:r>
    </w:p>
    <w:p>
      <w:pPr>
        <w:spacing w:line="360" w:lineRule="atLeast"/>
        <w:ind w:firstLine="480" w:firstLineChars="200"/>
        <w:jc w:val="center"/>
        <w:rPr>
          <w:rFonts w:ascii="仿宋" w:hAnsi="仿宋" w:eastAsia="仿宋" w:cs="楷体_GB2312"/>
          <w:sz w:val="24"/>
          <w:szCs w:val="24"/>
        </w:rPr>
      </w:pPr>
      <w:r>
        <w:rPr>
          <w:rFonts w:hint="eastAsia" w:ascii="仿宋" w:hAnsi="仿宋" w:eastAsia="仿宋"/>
          <w:sz w:val="24"/>
          <w:szCs w:val="24"/>
        </w:rPr>
        <w:t>表2</w:t>
      </w:r>
      <w:r>
        <w:rPr>
          <w:rFonts w:hint="eastAsia" w:ascii="仿宋" w:hAnsi="仿宋" w:eastAsia="仿宋" w:cs="楷体_GB2312"/>
          <w:sz w:val="24"/>
          <w:szCs w:val="24"/>
        </w:rPr>
        <w:t>莱赛尔纤维与锦纶混纺本色纱指标</w:t>
      </w:r>
      <w:r>
        <w:rPr>
          <w:rFonts w:hint="eastAsia" w:ascii="仿宋" w:hAnsi="仿宋" w:eastAsia="仿宋"/>
          <w:sz w:val="24"/>
          <w:szCs w:val="24"/>
        </w:rPr>
        <w:t>验证数据</w:t>
      </w:r>
    </w:p>
    <w:tbl>
      <w:tblPr>
        <w:tblStyle w:val="9"/>
        <w:tblW w:w="4997" w:type="pct"/>
        <w:tblInd w:w="0" w:type="dxa"/>
        <w:tblLayout w:type="autofit"/>
        <w:tblCellMar>
          <w:top w:w="0" w:type="dxa"/>
          <w:left w:w="0" w:type="dxa"/>
          <w:bottom w:w="0" w:type="dxa"/>
          <w:right w:w="0" w:type="dxa"/>
        </w:tblCellMar>
      </w:tblPr>
      <w:tblGrid>
        <w:gridCol w:w="1198"/>
        <w:gridCol w:w="954"/>
        <w:gridCol w:w="954"/>
        <w:gridCol w:w="958"/>
        <w:gridCol w:w="1193"/>
        <w:gridCol w:w="958"/>
        <w:gridCol w:w="958"/>
        <w:gridCol w:w="961"/>
        <w:gridCol w:w="962"/>
      </w:tblGrid>
      <w:tr>
        <w:tblPrEx>
          <w:tblCellMar>
            <w:top w:w="0" w:type="dxa"/>
            <w:left w:w="0" w:type="dxa"/>
            <w:bottom w:w="0" w:type="dxa"/>
            <w:right w:w="0" w:type="dxa"/>
          </w:tblCellMar>
        </w:tblPrEx>
        <w:trPr>
          <w:trHeight w:val="740" w:hRule="atLeast"/>
        </w:trPr>
        <w:tc>
          <w:tcPr>
            <w:tcW w:w="65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r>
              <w:rPr>
                <w:rFonts w:hint="eastAsia" w:ascii="仿宋" w:hAnsi="仿宋" w:eastAsia="仿宋" w:cs="仿宋_GB2312"/>
                <w:kern w:val="0"/>
                <w:szCs w:val="21"/>
              </w:rPr>
              <w:t xml:space="preserve">公称线密度tex      </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r>
              <w:rPr>
                <w:rFonts w:hint="eastAsia" w:ascii="仿宋" w:hAnsi="仿宋" w:eastAsia="仿宋" w:cs="仿宋_GB2312"/>
                <w:kern w:val="0"/>
                <w:szCs w:val="21"/>
              </w:rPr>
              <w:t>等级</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楷体_GB2312"/>
                <w:kern w:val="2"/>
              </w:rPr>
            </w:pPr>
            <w:r>
              <w:rPr>
                <w:rFonts w:hint="eastAsia" w:ascii="仿宋" w:hAnsi="仿宋" w:eastAsia="仿宋" w:cs="楷体_GB2312"/>
                <w:kern w:val="2"/>
              </w:rPr>
              <w:t>线密度偏差率/%</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楷体_GB2312"/>
                <w:kern w:val="2"/>
              </w:rPr>
            </w:pPr>
            <w:r>
              <w:rPr>
                <w:rFonts w:hint="eastAsia" w:ascii="仿宋" w:hAnsi="仿宋" w:eastAsia="仿宋" w:cs="楷体_GB2312"/>
                <w:kern w:val="2"/>
              </w:rPr>
              <w:t>线密度变异系数/%</w:t>
            </w:r>
          </w:p>
          <w:p>
            <w:pPr>
              <w:pStyle w:val="20"/>
              <w:jc w:val="center"/>
              <w:rPr>
                <w:rFonts w:ascii="仿宋" w:hAnsi="仿宋" w:eastAsia="仿宋" w:cs="楷体_GB2312"/>
                <w:kern w:val="2"/>
              </w:rPr>
            </w:pPr>
            <w:r>
              <w:rPr>
                <w:rFonts w:hint="eastAsia" w:ascii="仿宋" w:hAnsi="仿宋" w:eastAsia="仿宋" w:cs="楷体_GB2312"/>
                <w:kern w:val="2"/>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楷体_GB2312"/>
                <w:kern w:val="2"/>
              </w:rPr>
            </w:pPr>
            <w:r>
              <w:rPr>
                <w:rFonts w:hint="eastAsia" w:ascii="仿宋" w:hAnsi="仿宋" w:eastAsia="仿宋" w:cs="楷体_GB2312"/>
                <w:kern w:val="2"/>
              </w:rPr>
              <w:t>单纱断裂强度/（cN/tex）≥</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楷体_GB2312"/>
                <w:kern w:val="2"/>
              </w:rPr>
            </w:pPr>
            <w:r>
              <w:rPr>
                <w:rFonts w:hint="eastAsia" w:ascii="仿宋" w:hAnsi="仿宋" w:eastAsia="仿宋" w:cs="楷体_GB2312"/>
                <w:kern w:val="2"/>
              </w:rPr>
              <w:t>单纱断裂强力变异系数/%  ≤</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楷体_GB2312"/>
                <w:kern w:val="2"/>
              </w:rPr>
            </w:pPr>
            <w:r>
              <w:rPr>
                <w:rFonts w:hint="eastAsia" w:ascii="仿宋" w:hAnsi="仿宋" w:eastAsia="仿宋" w:cs="楷体_GB2312"/>
                <w:kern w:val="2"/>
              </w:rPr>
              <w:t>条干均匀度变异系数/%≤</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楷体_GB2312"/>
                <w:kern w:val="2"/>
              </w:rPr>
            </w:pPr>
            <w:r>
              <w:rPr>
                <w:rFonts w:hint="eastAsia" w:ascii="仿宋" w:hAnsi="仿宋" w:eastAsia="仿宋" w:cs="楷体_GB2312"/>
                <w:kern w:val="2"/>
              </w:rPr>
              <w:t>千米棉结(+200%)/（个/km）≤</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7"/>
              <w:widowControl/>
              <w:autoSpaceDE w:val="0"/>
              <w:autoSpaceDN w:val="0"/>
              <w:jc w:val="center"/>
            </w:pPr>
            <w:r>
              <w:rPr>
                <w:rFonts w:hint="eastAsia" w:ascii="宋体" w:hAnsi="Times New Roman" w:cs="Times New Roman"/>
                <w:kern w:val="0"/>
                <w:sz w:val="18"/>
                <w:szCs w:val="20"/>
                <w:lang w:bidi="ar"/>
              </w:rPr>
              <w:t>十万米纱疵/（个/10</w:t>
            </w:r>
            <w:r>
              <w:rPr>
                <w:rFonts w:hint="eastAsia" w:ascii="宋体" w:hAnsi="Times New Roman" w:cs="Times New Roman"/>
                <w:kern w:val="0"/>
                <w:sz w:val="18"/>
                <w:szCs w:val="20"/>
                <w:vertAlign w:val="superscript"/>
                <w:lang w:bidi="ar"/>
              </w:rPr>
              <w:t>5</w:t>
            </w:r>
            <w:r>
              <w:rPr>
                <w:rFonts w:hint="eastAsia" w:ascii="宋体" w:hAnsi="Times New Roman" w:cs="Times New Roman"/>
                <w:kern w:val="0"/>
                <w:sz w:val="18"/>
                <w:szCs w:val="20"/>
                <w:lang w:bidi="ar"/>
              </w:rPr>
              <w:t>m）</w:t>
            </w:r>
          </w:p>
          <w:p>
            <w:pPr>
              <w:pStyle w:val="20"/>
              <w:jc w:val="center"/>
              <w:rPr>
                <w:rFonts w:ascii="仿宋" w:hAnsi="仿宋" w:eastAsia="仿宋" w:cs="楷体_GB2312"/>
                <w:kern w:val="2"/>
              </w:rPr>
            </w:pPr>
            <w:r>
              <w:rPr>
                <w:rFonts w:hint="eastAsia"/>
                <w:sz w:val="18"/>
                <w:szCs w:val="20"/>
                <w:lang w:bidi="ar"/>
              </w:rPr>
              <w:t>≤</w:t>
            </w:r>
          </w:p>
        </w:tc>
      </w:tr>
      <w:tr>
        <w:tblPrEx>
          <w:tblCellMar>
            <w:top w:w="0" w:type="dxa"/>
            <w:left w:w="0" w:type="dxa"/>
            <w:bottom w:w="0" w:type="dxa"/>
            <w:right w:w="0" w:type="dxa"/>
          </w:tblCellMar>
        </w:tblPrEx>
        <w:trPr>
          <w:trHeight w:val="340" w:hRule="atLeast"/>
        </w:trPr>
        <w:tc>
          <w:tcPr>
            <w:tcW w:w="65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仿宋_GB2312"/>
              </w:rPr>
            </w:pPr>
            <w:r>
              <w:rPr>
                <w:rFonts w:hint="eastAsia"/>
                <w:sz w:val="18"/>
                <w:szCs w:val="20"/>
                <w:lang w:bidi="ar"/>
              </w:rPr>
              <w:t>8.1～11.0</w:t>
            </w:r>
            <w:r>
              <w:rPr>
                <w:rFonts w:hint="eastAsia" w:ascii="仿宋" w:hAnsi="仿宋" w:eastAsia="仿宋" w:cs="仿宋_GB2312"/>
              </w:rPr>
              <w:t xml:space="preserve">      (28批)  </w:t>
            </w:r>
          </w:p>
          <w:p>
            <w:pPr>
              <w:pStyle w:val="20"/>
              <w:jc w:val="center"/>
              <w:rPr>
                <w:rFonts w:ascii="仿宋" w:hAnsi="仿宋" w:eastAsia="仿宋" w:cs="仿宋_GB2312"/>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最高</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3.6</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2.1</w:t>
            </w:r>
          </w:p>
        </w:tc>
        <w:tc>
          <w:tcPr>
            <w:tcW w:w="6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23.2</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9.5</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11.6</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61</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w:t>
            </w:r>
          </w:p>
        </w:tc>
      </w:tr>
      <w:tr>
        <w:tblPrEx>
          <w:tblCellMar>
            <w:top w:w="0" w:type="dxa"/>
            <w:left w:w="0" w:type="dxa"/>
            <w:bottom w:w="0" w:type="dxa"/>
            <w:right w:w="0" w:type="dxa"/>
          </w:tblCellMar>
        </w:tblPrEx>
        <w:trPr>
          <w:trHeight w:val="340" w:hRule="atLeast"/>
        </w:trPr>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最低</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1.0</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1.0</w:t>
            </w:r>
          </w:p>
        </w:tc>
        <w:tc>
          <w:tcPr>
            <w:tcW w:w="6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16.5</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7.8</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11.3</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28</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w:t>
            </w:r>
          </w:p>
        </w:tc>
      </w:tr>
      <w:tr>
        <w:tblPrEx>
          <w:tblCellMar>
            <w:top w:w="0" w:type="dxa"/>
            <w:left w:w="0" w:type="dxa"/>
            <w:bottom w:w="0" w:type="dxa"/>
            <w:right w:w="0" w:type="dxa"/>
          </w:tblCellMar>
        </w:tblPrEx>
        <w:trPr>
          <w:trHeight w:val="90" w:hRule="atLeast"/>
        </w:trPr>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平均</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2.1</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1.6</w:t>
            </w:r>
          </w:p>
        </w:tc>
        <w:tc>
          <w:tcPr>
            <w:tcW w:w="6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18.9</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8.6</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11.4</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35</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w:t>
            </w:r>
          </w:p>
        </w:tc>
      </w:tr>
      <w:tr>
        <w:tblPrEx>
          <w:tblCellMar>
            <w:top w:w="0" w:type="dxa"/>
            <w:left w:w="0" w:type="dxa"/>
            <w:bottom w:w="0" w:type="dxa"/>
            <w:right w:w="0" w:type="dxa"/>
          </w:tblCellMar>
        </w:tblPrEx>
        <w:trPr>
          <w:trHeight w:val="340" w:hRule="atLeast"/>
        </w:trPr>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优</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hint="eastAsia" w:ascii="Symbol" w:hAnsi="Symbol"/>
                <w:szCs w:val="24"/>
              </w:rPr>
            </w:pPr>
            <w:r>
              <w:rPr>
                <w:rFonts w:hint="eastAsia" w:ascii="Symbol" w:hAnsi="Symbol"/>
                <w:szCs w:val="24"/>
              </w:rPr>
              <w:t>82.1%</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82.1%</w:t>
            </w:r>
          </w:p>
        </w:tc>
        <w:tc>
          <w:tcPr>
            <w:tcW w:w="6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85.7%</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92.9%</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r>
      <w:tr>
        <w:tblPrEx>
          <w:tblCellMar>
            <w:top w:w="0" w:type="dxa"/>
            <w:left w:w="0" w:type="dxa"/>
            <w:bottom w:w="0" w:type="dxa"/>
            <w:right w:w="0" w:type="dxa"/>
          </w:tblCellMar>
        </w:tblPrEx>
        <w:trPr>
          <w:trHeight w:val="340" w:hRule="atLeast"/>
        </w:trPr>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一</w:t>
            </w:r>
          </w:p>
        </w:tc>
        <w:tc>
          <w:tcPr>
            <w:tcW w:w="5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hint="eastAsia" w:ascii="Symbol" w:hAnsi="Symbol"/>
                <w:szCs w:val="24"/>
              </w:rPr>
            </w:pPr>
            <w:r>
              <w:rPr>
                <w:rFonts w:hint="eastAsia" w:ascii="Symbol" w:hAnsi="Symbol"/>
                <w:szCs w:val="24"/>
              </w:rPr>
              <w:t>9.6%</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17.9%</w:t>
            </w:r>
          </w:p>
        </w:tc>
        <w:tc>
          <w:tcPr>
            <w:tcW w:w="655"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10.7%</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7.1%</w:t>
            </w:r>
          </w:p>
        </w:tc>
        <w:tc>
          <w:tcPr>
            <w:tcW w:w="52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r>
        <w:tblPrEx>
          <w:tblCellMar>
            <w:top w:w="0" w:type="dxa"/>
            <w:left w:w="0" w:type="dxa"/>
            <w:bottom w:w="0" w:type="dxa"/>
            <w:right w:w="0" w:type="dxa"/>
          </w:tblCellMar>
        </w:tblPrEx>
        <w:trPr>
          <w:trHeight w:val="340" w:hRule="atLeast"/>
        </w:trPr>
        <w:tc>
          <w:tcPr>
            <w:tcW w:w="65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二</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3.6%</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r>
        <w:tblPrEx>
          <w:tblCellMar>
            <w:top w:w="0" w:type="dxa"/>
            <w:left w:w="0" w:type="dxa"/>
            <w:bottom w:w="0" w:type="dxa"/>
            <w:right w:w="0" w:type="dxa"/>
          </w:tblCellMar>
        </w:tblPrEx>
        <w:trPr>
          <w:trHeight w:val="340" w:hRule="atLeast"/>
        </w:trPr>
        <w:tc>
          <w:tcPr>
            <w:tcW w:w="658"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仿宋_GB2312"/>
              </w:rPr>
            </w:pPr>
            <w:r>
              <w:rPr>
                <w:rFonts w:hint="eastAsia" w:ascii="仿宋" w:hAnsi="仿宋" w:eastAsia="仿宋" w:cs="楷体_GB2312"/>
                <w:kern w:val="2"/>
              </w:rPr>
              <w:t>11</w:t>
            </w:r>
            <w:r>
              <w:rPr>
                <w:rFonts w:ascii="仿宋" w:hAnsi="仿宋" w:eastAsia="仿宋" w:cs="楷体_GB2312"/>
                <w:kern w:val="2"/>
              </w:rPr>
              <w:t>.1</w:t>
            </w:r>
            <w:r>
              <w:rPr>
                <w:rFonts w:ascii="仿宋" w:hAnsi="仿宋" w:eastAsia="仿宋"/>
              </w:rPr>
              <w:sym w:font="Symbol" w:char="F07E"/>
            </w:r>
            <w:r>
              <w:rPr>
                <w:rFonts w:ascii="仿宋" w:hAnsi="仿宋" w:eastAsia="仿宋"/>
              </w:rPr>
              <w:t>1</w:t>
            </w:r>
            <w:r>
              <w:rPr>
                <w:rFonts w:hint="eastAsia" w:ascii="仿宋" w:hAnsi="仿宋" w:eastAsia="仿宋"/>
              </w:rPr>
              <w:t>3.0</w:t>
            </w:r>
            <w:r>
              <w:rPr>
                <w:rFonts w:hint="eastAsia" w:ascii="仿宋" w:hAnsi="仿宋" w:eastAsia="仿宋" w:cs="仿宋_GB2312"/>
              </w:rPr>
              <w:t xml:space="preserve">      (110批)  </w:t>
            </w:r>
          </w:p>
          <w:p>
            <w:pPr>
              <w:pStyle w:val="20"/>
              <w:jc w:val="center"/>
              <w:rPr>
                <w:rFonts w:ascii="仿宋" w:hAnsi="仿宋" w:eastAsia="仿宋" w:cs="仿宋_GB2312"/>
                <w:kern w:val="2"/>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最高</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2.2</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22.7</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10.4</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11.8</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44</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最低</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0.6</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16.8</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6.1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1.0</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34</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平均</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1.3</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19.5</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7.8</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4.7</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40</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优</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73.6%</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82.7%</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83.6%</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97.1%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一</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14.5%</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17.3%</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2.9%</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二</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6.4%</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7.3%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r>
        <w:tblPrEx>
          <w:tblCellMar>
            <w:top w:w="0" w:type="dxa"/>
            <w:left w:w="0" w:type="dxa"/>
            <w:bottom w:w="0" w:type="dxa"/>
            <w:right w:w="0" w:type="dxa"/>
          </w:tblCellMar>
        </w:tblPrEx>
        <w:trPr>
          <w:trHeight w:val="340" w:hRule="atLeast"/>
        </w:trPr>
        <w:tc>
          <w:tcPr>
            <w:tcW w:w="658"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宋体" w:hAnsi="Times New Roman"/>
                <w:kern w:val="0"/>
                <w:sz w:val="18"/>
                <w:szCs w:val="20"/>
                <w:lang w:bidi="ar"/>
              </w:rPr>
              <w:t>13.1</w:t>
            </w:r>
            <w:r>
              <w:rPr>
                <w:rFonts w:hint="eastAsia" w:ascii="Times New Roman" w:hAnsi="Times New Roman"/>
                <w:sz w:val="18"/>
                <w:szCs w:val="20"/>
                <w:lang w:bidi="ar"/>
              </w:rPr>
              <w:t>～</w:t>
            </w:r>
            <w:r>
              <w:rPr>
                <w:rFonts w:hint="eastAsia" w:ascii="宋体" w:hAnsi="Times New Roman"/>
                <w:kern w:val="0"/>
                <w:sz w:val="18"/>
                <w:szCs w:val="20"/>
                <w:lang w:bidi="ar"/>
              </w:rPr>
              <w:t>16.0</w:t>
            </w:r>
            <w:r>
              <w:rPr>
                <w:rFonts w:hint="eastAsia" w:ascii="仿宋" w:hAnsi="仿宋" w:eastAsia="仿宋" w:cs="仿宋_GB2312"/>
                <w:kern w:val="0"/>
                <w:szCs w:val="21"/>
              </w:rPr>
              <w:t xml:space="preserve">      (96批)  </w:t>
            </w:r>
          </w:p>
          <w:p>
            <w:pPr>
              <w:widowControl/>
              <w:adjustRightInd w:val="0"/>
              <w:snapToGrid w:val="0"/>
              <w:jc w:val="center"/>
              <w:textAlignment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最高</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2.4</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2.1</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23.0</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8.9</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11.6</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47</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9</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最低</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-2.5</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0.7</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17.1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6.2</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2.0</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平均</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1.4</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18.5</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7.2</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7.1</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18</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w:t>
            </w:r>
          </w:p>
        </w:tc>
      </w:tr>
      <w:tr>
        <w:tblPrEx>
          <w:tblCellMar>
            <w:top w:w="0" w:type="dxa"/>
            <w:left w:w="0" w:type="dxa"/>
            <w:bottom w:w="0" w:type="dxa"/>
            <w:right w:w="0" w:type="dxa"/>
          </w:tblCellMar>
        </w:tblPrEx>
        <w:trPr>
          <w:trHeight w:val="9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优</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94.8%</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92.9%</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90.1%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90.6%</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95.8%</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96.9%</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一</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5.2%</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7.1%</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7.8%</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9.4%</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4.2%</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3.1%</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二</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2.1%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r>
        <w:tblPrEx>
          <w:tblCellMar>
            <w:top w:w="0" w:type="dxa"/>
            <w:left w:w="0" w:type="dxa"/>
            <w:bottom w:w="0" w:type="dxa"/>
            <w:right w:w="0" w:type="dxa"/>
          </w:tblCellMar>
        </w:tblPrEx>
        <w:trPr>
          <w:trHeight w:val="348" w:hRule="atLeast"/>
        </w:trPr>
        <w:tc>
          <w:tcPr>
            <w:tcW w:w="658" w:type="pct"/>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pStyle w:val="20"/>
              <w:jc w:val="center"/>
              <w:rPr>
                <w:rFonts w:ascii="仿宋" w:hAnsi="仿宋" w:eastAsia="仿宋" w:cs="仿宋_GB2312"/>
              </w:rPr>
            </w:pPr>
            <w:r>
              <w:rPr>
                <w:rFonts w:hint="eastAsia"/>
                <w:sz w:val="18"/>
                <w:szCs w:val="20"/>
                <w:lang w:bidi="ar"/>
              </w:rPr>
              <w:t>16.1～20.0</w:t>
            </w:r>
            <w:r>
              <w:rPr>
                <w:rFonts w:hint="eastAsia" w:ascii="仿宋" w:hAnsi="仿宋" w:eastAsia="仿宋" w:cs="仿宋_GB2312"/>
              </w:rPr>
              <w:t xml:space="preserve">     (12批)  </w:t>
            </w:r>
          </w:p>
          <w:p>
            <w:pPr>
              <w:pStyle w:val="20"/>
              <w:jc w:val="center"/>
              <w:rPr>
                <w:rFonts w:ascii="仿宋" w:hAnsi="仿宋" w:eastAsia="仿宋" w:cs="仿宋_GB2312"/>
                <w:kern w:val="2"/>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最高</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3.0</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21.4</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8.2</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11.1</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38</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5</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最低</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-2.1</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0.9</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17.3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6.8</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10.0</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18</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平均</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-0.3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1.6</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19.2</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7.5</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10.8</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25</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kern w:val="0"/>
                <w:szCs w:val="21"/>
              </w:rPr>
            </w:pPr>
            <w:r>
              <w:rPr>
                <w:rFonts w:hint="eastAsia" w:ascii="仿宋" w:hAnsi="仿宋" w:eastAsia="仿宋" w:cs="仿宋_GB2312"/>
                <w:kern w:val="0"/>
                <w:szCs w:val="21"/>
              </w:rPr>
              <w:t>3</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优</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91.6%</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75.0%</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66.7%</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66.7%</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83.3%</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100%</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一</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8.4%</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16.7%</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25.0%</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33.3%</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16.7%</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r>
        <w:tblPrEx>
          <w:tblCellMar>
            <w:top w:w="0" w:type="dxa"/>
            <w:left w:w="0" w:type="dxa"/>
            <w:bottom w:w="0" w:type="dxa"/>
            <w:right w:w="0" w:type="dxa"/>
          </w:tblCellMar>
        </w:tblPrEx>
        <w:trPr>
          <w:trHeight w:val="340" w:hRule="atLeast"/>
        </w:trPr>
        <w:tc>
          <w:tcPr>
            <w:tcW w:w="658" w:type="pct"/>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napToGrid w:val="0"/>
              <w:jc w:val="center"/>
              <w:rPr>
                <w:rFonts w:ascii="仿宋" w:hAnsi="仿宋" w:eastAsia="仿宋" w:cs="仿宋_GB2312"/>
                <w:szCs w:val="21"/>
              </w:rPr>
            </w:pP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仿宋" w:hAnsi="仿宋" w:eastAsia="仿宋" w:cs="仿宋_GB2312"/>
                <w:szCs w:val="21"/>
              </w:rPr>
            </w:pPr>
            <w:r>
              <w:rPr>
                <w:rFonts w:hint="eastAsia" w:ascii="仿宋" w:hAnsi="仿宋" w:eastAsia="仿宋" w:cs="仿宋_GB2312"/>
                <w:kern w:val="0"/>
                <w:szCs w:val="21"/>
              </w:rPr>
              <w:t>二</w:t>
            </w:r>
          </w:p>
        </w:tc>
        <w:tc>
          <w:tcPr>
            <w:tcW w:w="52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hint="eastAsia" w:ascii="Symbol" w:hAnsi="Symbol"/>
                <w:szCs w:val="24"/>
              </w:rPr>
            </w:pPr>
            <w:r>
              <w:rPr>
                <w:rFonts w:hint="eastAsia" w:ascii="Symbol" w:hAnsi="Symbol"/>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8.3%</w:t>
            </w:r>
          </w:p>
        </w:tc>
        <w:tc>
          <w:tcPr>
            <w:tcW w:w="655"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8.3%</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tcPr>
          <w:p>
            <w:pPr>
              <w:jc w:val="center"/>
              <w:rPr>
                <w:rFonts w:ascii="仿宋" w:hAnsi="仿宋" w:eastAsia="仿宋"/>
                <w:szCs w:val="24"/>
              </w:rPr>
            </w:pPr>
            <w:r>
              <w:rPr>
                <w:rFonts w:hint="eastAsia" w:ascii="仿宋" w:hAnsi="仿宋" w:eastAsia="仿宋"/>
                <w:szCs w:val="24"/>
              </w:rPr>
              <w:t>-</w:t>
            </w:r>
          </w:p>
        </w:tc>
      </w:tr>
    </w:tbl>
    <w:p>
      <w:pPr>
        <w:spacing w:line="360" w:lineRule="atLeast"/>
        <w:ind w:firstLine="480" w:firstLineChars="200"/>
        <w:jc w:val="center"/>
        <w:rPr>
          <w:rFonts w:hint="eastAsia" w:ascii="仿宋" w:hAnsi="仿宋" w:eastAsia="仿宋"/>
          <w:sz w:val="24"/>
          <w:szCs w:val="24"/>
        </w:rPr>
      </w:pPr>
      <w:r>
        <w:rPr>
          <w:rFonts w:hint="eastAsia" w:ascii="仿宋" w:hAnsi="仿宋" w:eastAsia="仿宋"/>
          <w:sz w:val="24"/>
          <w:szCs w:val="24"/>
          <w:lang w:val="en-US" w:eastAsia="zh-CN"/>
        </w:rPr>
        <w:t xml:space="preserve">表3 </w:t>
      </w:r>
      <w:r>
        <w:rPr>
          <w:rFonts w:hint="eastAsia" w:ascii="仿宋" w:hAnsi="仿宋" w:eastAsia="仿宋" w:cs="楷体_GB2312"/>
          <w:sz w:val="24"/>
          <w:szCs w:val="24"/>
        </w:rPr>
        <w:t>莱赛尔纤维与锦纶混纺本色纱纤维比例</w:t>
      </w:r>
      <w:r>
        <w:rPr>
          <w:rFonts w:hint="eastAsia" w:ascii="仿宋" w:hAnsi="仿宋" w:eastAsia="仿宋"/>
          <w:sz w:val="24"/>
          <w:szCs w:val="24"/>
        </w:rPr>
        <w:t>验证数据</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71"/>
        <w:gridCol w:w="2821"/>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300"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品种</w:t>
            </w:r>
          </w:p>
        </w:tc>
        <w:tc>
          <w:tcPr>
            <w:tcW w:w="151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实际比例</w:t>
            </w:r>
          </w:p>
        </w:tc>
        <w:tc>
          <w:tcPr>
            <w:tcW w:w="117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300"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 w:val="24"/>
                <w:szCs w:val="24"/>
              </w:rPr>
              <w:t xml:space="preserve">AA JM Ly/N </w:t>
            </w:r>
            <w:r>
              <w:rPr>
                <w:rFonts w:hint="eastAsia" w:ascii="仿宋" w:hAnsi="仿宋" w:eastAsia="仿宋"/>
                <w:sz w:val="24"/>
                <w:szCs w:val="24"/>
                <w:lang w:val="en-US" w:eastAsia="zh-CN"/>
              </w:rPr>
              <w:t>62</w:t>
            </w:r>
            <w:r>
              <w:rPr>
                <w:rFonts w:hint="eastAsia" w:ascii="仿宋" w:hAnsi="仿宋" w:eastAsia="仿宋"/>
                <w:sz w:val="24"/>
                <w:szCs w:val="24"/>
              </w:rPr>
              <w:t>/3</w:t>
            </w:r>
            <w:r>
              <w:rPr>
                <w:rFonts w:hint="eastAsia" w:ascii="仿宋" w:hAnsi="仿宋" w:eastAsia="仿宋"/>
                <w:sz w:val="24"/>
                <w:szCs w:val="24"/>
                <w:lang w:val="en-US" w:eastAsia="zh-CN"/>
              </w:rPr>
              <w:t>8</w:t>
            </w:r>
            <w:r>
              <w:rPr>
                <w:rFonts w:hint="eastAsia" w:ascii="仿宋" w:hAnsi="仿宋" w:eastAsia="仿宋"/>
                <w:sz w:val="24"/>
                <w:szCs w:val="24"/>
              </w:rPr>
              <w:t xml:space="preserve"> </w:t>
            </w:r>
            <w:r>
              <w:rPr>
                <w:rFonts w:hint="eastAsia" w:ascii="仿宋" w:hAnsi="仿宋" w:eastAsia="仿宋"/>
                <w:sz w:val="24"/>
                <w:szCs w:val="24"/>
                <w:lang w:val="en-US" w:eastAsia="zh-CN"/>
              </w:rPr>
              <w:t>16.9</w:t>
            </w:r>
            <w:r>
              <w:rPr>
                <w:rFonts w:hint="eastAsia" w:ascii="仿宋" w:hAnsi="仿宋" w:eastAsia="仿宋"/>
                <w:sz w:val="24"/>
                <w:szCs w:val="24"/>
              </w:rPr>
              <w:t>tex</w:t>
            </w:r>
          </w:p>
        </w:tc>
        <w:tc>
          <w:tcPr>
            <w:tcW w:w="151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lang w:val="en-US"/>
              </w:rPr>
            </w:pPr>
            <w:r>
              <w:rPr>
                <w:rFonts w:hint="eastAsia" w:ascii="仿宋" w:hAnsi="仿宋" w:eastAsia="仿宋"/>
                <w:sz w:val="24"/>
                <w:szCs w:val="24"/>
              </w:rPr>
              <w:t xml:space="preserve">Ly/N </w:t>
            </w:r>
            <w:r>
              <w:rPr>
                <w:rFonts w:hint="eastAsia" w:ascii="仿宋" w:hAnsi="仿宋" w:eastAsia="仿宋"/>
                <w:sz w:val="24"/>
                <w:szCs w:val="24"/>
                <w:lang w:val="en-US" w:eastAsia="zh-CN"/>
              </w:rPr>
              <w:t>61.3</w:t>
            </w:r>
            <w:r>
              <w:rPr>
                <w:rFonts w:hint="eastAsia" w:ascii="仿宋" w:hAnsi="仿宋" w:eastAsia="仿宋"/>
                <w:sz w:val="24"/>
                <w:szCs w:val="24"/>
              </w:rPr>
              <w:t>/3</w:t>
            </w:r>
            <w:r>
              <w:rPr>
                <w:rFonts w:hint="eastAsia" w:ascii="仿宋" w:hAnsi="仿宋" w:eastAsia="仿宋"/>
                <w:sz w:val="24"/>
                <w:szCs w:val="24"/>
                <w:lang w:val="en-US" w:eastAsia="zh-CN"/>
              </w:rPr>
              <w:t>8.7</w:t>
            </w:r>
            <w:bookmarkStart w:id="0" w:name="_GoBack"/>
            <w:bookmarkEnd w:id="0"/>
            <w:r>
              <w:rPr>
                <w:rFonts w:hint="eastAsia" w:ascii="仿宋" w:hAnsi="仿宋" w:eastAsia="仿宋"/>
                <w:sz w:val="24"/>
                <w:szCs w:val="24"/>
              </w:rPr>
              <w:t xml:space="preserve"> </w:t>
            </w:r>
          </w:p>
        </w:tc>
        <w:tc>
          <w:tcPr>
            <w:tcW w:w="117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300"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lang w:val="en-US" w:eastAsia="zh-CN"/>
              </w:rPr>
            </w:pPr>
            <w:r>
              <w:rPr>
                <w:rFonts w:hint="eastAsia" w:ascii="仿宋" w:hAnsi="仿宋" w:eastAsia="仿宋"/>
                <w:sz w:val="24"/>
                <w:szCs w:val="24"/>
              </w:rPr>
              <w:t xml:space="preserve">AA JM Ly/N </w:t>
            </w:r>
            <w:r>
              <w:rPr>
                <w:rFonts w:hint="eastAsia" w:ascii="仿宋" w:hAnsi="仿宋" w:eastAsia="仿宋"/>
                <w:sz w:val="24"/>
                <w:szCs w:val="24"/>
                <w:lang w:val="en-US" w:eastAsia="zh-CN"/>
              </w:rPr>
              <w:t>62</w:t>
            </w:r>
            <w:r>
              <w:rPr>
                <w:rFonts w:hint="eastAsia" w:ascii="仿宋" w:hAnsi="仿宋" w:eastAsia="仿宋"/>
                <w:sz w:val="24"/>
                <w:szCs w:val="24"/>
              </w:rPr>
              <w:t>/3</w:t>
            </w:r>
            <w:r>
              <w:rPr>
                <w:rFonts w:hint="eastAsia" w:ascii="仿宋" w:hAnsi="仿宋" w:eastAsia="仿宋"/>
                <w:sz w:val="24"/>
                <w:szCs w:val="24"/>
                <w:lang w:val="en-US" w:eastAsia="zh-CN"/>
              </w:rPr>
              <w:t>8</w:t>
            </w:r>
            <w:r>
              <w:rPr>
                <w:rFonts w:hint="eastAsia" w:ascii="仿宋" w:hAnsi="仿宋" w:eastAsia="仿宋"/>
                <w:sz w:val="24"/>
                <w:szCs w:val="24"/>
              </w:rPr>
              <w:t xml:space="preserve"> </w:t>
            </w:r>
            <w:r>
              <w:rPr>
                <w:rFonts w:hint="eastAsia" w:ascii="仿宋" w:hAnsi="仿宋" w:eastAsia="仿宋"/>
                <w:sz w:val="24"/>
                <w:szCs w:val="24"/>
                <w:lang w:val="en-US" w:eastAsia="zh-CN"/>
              </w:rPr>
              <w:t>14.8</w:t>
            </w:r>
            <w:r>
              <w:rPr>
                <w:rFonts w:hint="eastAsia" w:ascii="仿宋" w:hAnsi="仿宋" w:eastAsia="仿宋"/>
                <w:sz w:val="24"/>
                <w:szCs w:val="24"/>
              </w:rPr>
              <w:t>tex</w:t>
            </w:r>
          </w:p>
        </w:tc>
        <w:tc>
          <w:tcPr>
            <w:tcW w:w="151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lang w:val="en-US"/>
              </w:rPr>
            </w:pPr>
            <w:r>
              <w:rPr>
                <w:rFonts w:hint="eastAsia" w:ascii="仿宋" w:hAnsi="仿宋" w:eastAsia="仿宋"/>
                <w:sz w:val="24"/>
                <w:szCs w:val="24"/>
              </w:rPr>
              <w:t xml:space="preserve">Ly/N </w:t>
            </w:r>
            <w:r>
              <w:rPr>
                <w:rFonts w:hint="eastAsia" w:ascii="仿宋" w:hAnsi="仿宋" w:eastAsia="仿宋"/>
                <w:sz w:val="24"/>
                <w:szCs w:val="24"/>
                <w:lang w:val="en-US" w:eastAsia="zh-CN"/>
              </w:rPr>
              <w:t>61.2</w:t>
            </w:r>
            <w:r>
              <w:rPr>
                <w:rFonts w:hint="eastAsia" w:ascii="仿宋" w:hAnsi="仿宋" w:eastAsia="仿宋"/>
                <w:sz w:val="24"/>
                <w:szCs w:val="24"/>
              </w:rPr>
              <w:t>/3</w:t>
            </w:r>
            <w:r>
              <w:rPr>
                <w:rFonts w:hint="eastAsia" w:ascii="仿宋" w:hAnsi="仿宋" w:eastAsia="仿宋"/>
                <w:sz w:val="24"/>
                <w:szCs w:val="24"/>
                <w:lang w:val="en-US" w:eastAsia="zh-CN"/>
              </w:rPr>
              <w:t>8.8</w:t>
            </w:r>
            <w:r>
              <w:rPr>
                <w:rFonts w:hint="eastAsia" w:ascii="仿宋" w:hAnsi="仿宋" w:eastAsia="仿宋"/>
                <w:sz w:val="24"/>
                <w:szCs w:val="24"/>
              </w:rPr>
              <w:t xml:space="preserve"> </w:t>
            </w:r>
          </w:p>
        </w:tc>
        <w:tc>
          <w:tcPr>
            <w:tcW w:w="117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300"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lang w:val="en-US"/>
              </w:rPr>
            </w:pPr>
            <w:r>
              <w:rPr>
                <w:rFonts w:hint="eastAsia" w:ascii="仿宋" w:hAnsi="仿宋" w:eastAsia="仿宋"/>
                <w:sz w:val="24"/>
                <w:szCs w:val="24"/>
              </w:rPr>
              <w:t xml:space="preserve">AA JM Ly/N 70/30 </w:t>
            </w:r>
            <w:r>
              <w:rPr>
                <w:rFonts w:hint="eastAsia" w:ascii="仿宋" w:hAnsi="仿宋" w:eastAsia="仿宋"/>
                <w:sz w:val="24"/>
                <w:szCs w:val="24"/>
                <w:lang w:val="en-US" w:eastAsia="zh-CN"/>
              </w:rPr>
              <w:t>9.8</w:t>
            </w:r>
            <w:r>
              <w:rPr>
                <w:rFonts w:hint="eastAsia" w:ascii="仿宋" w:hAnsi="仿宋" w:eastAsia="仿宋"/>
                <w:sz w:val="24"/>
                <w:szCs w:val="24"/>
              </w:rPr>
              <w:t>tex</w:t>
            </w:r>
          </w:p>
        </w:tc>
        <w:tc>
          <w:tcPr>
            <w:tcW w:w="151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lang w:val="en-US"/>
              </w:rPr>
            </w:pPr>
            <w:r>
              <w:rPr>
                <w:rFonts w:hint="eastAsia" w:ascii="仿宋" w:hAnsi="仿宋" w:eastAsia="仿宋"/>
                <w:sz w:val="24"/>
                <w:szCs w:val="24"/>
              </w:rPr>
              <w:t xml:space="preserve">Ly/N </w:t>
            </w:r>
            <w:r>
              <w:rPr>
                <w:rFonts w:hint="eastAsia" w:ascii="仿宋" w:hAnsi="仿宋" w:eastAsia="仿宋"/>
                <w:sz w:val="24"/>
                <w:szCs w:val="24"/>
                <w:lang w:val="en-US" w:eastAsia="zh-CN"/>
              </w:rPr>
              <w:t>68.6</w:t>
            </w:r>
            <w:r>
              <w:rPr>
                <w:rFonts w:hint="eastAsia" w:ascii="仿宋" w:hAnsi="仿宋" w:eastAsia="仿宋"/>
                <w:sz w:val="24"/>
                <w:szCs w:val="24"/>
              </w:rPr>
              <w:t>/3</w:t>
            </w:r>
            <w:r>
              <w:rPr>
                <w:rFonts w:hint="eastAsia" w:ascii="仿宋" w:hAnsi="仿宋" w:eastAsia="仿宋"/>
                <w:sz w:val="24"/>
                <w:szCs w:val="24"/>
                <w:lang w:val="en-US" w:eastAsia="zh-CN"/>
              </w:rPr>
              <w:t>1.4</w:t>
            </w:r>
          </w:p>
        </w:tc>
        <w:tc>
          <w:tcPr>
            <w:tcW w:w="117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300"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 w:val="24"/>
                <w:szCs w:val="24"/>
              </w:rPr>
              <w:t xml:space="preserve">AA JM Ly/N </w:t>
            </w:r>
            <w:r>
              <w:rPr>
                <w:rFonts w:hint="eastAsia" w:ascii="仿宋" w:hAnsi="仿宋" w:eastAsia="仿宋"/>
                <w:sz w:val="24"/>
                <w:szCs w:val="24"/>
                <w:lang w:val="en-US" w:eastAsia="zh-CN"/>
              </w:rPr>
              <w:t>8</w:t>
            </w:r>
            <w:r>
              <w:rPr>
                <w:rFonts w:hint="eastAsia" w:ascii="仿宋" w:hAnsi="仿宋" w:eastAsia="仿宋"/>
                <w:sz w:val="24"/>
                <w:szCs w:val="24"/>
              </w:rPr>
              <w:t>0/</w:t>
            </w:r>
            <w:r>
              <w:rPr>
                <w:rFonts w:hint="eastAsia" w:ascii="仿宋" w:hAnsi="仿宋" w:eastAsia="仿宋"/>
                <w:sz w:val="24"/>
                <w:szCs w:val="24"/>
                <w:lang w:val="en-US" w:eastAsia="zh-CN"/>
              </w:rPr>
              <w:t>2</w:t>
            </w:r>
            <w:r>
              <w:rPr>
                <w:rFonts w:hint="eastAsia" w:ascii="仿宋" w:hAnsi="仿宋" w:eastAsia="仿宋"/>
                <w:sz w:val="24"/>
                <w:szCs w:val="24"/>
              </w:rPr>
              <w:t xml:space="preserve">0 </w:t>
            </w:r>
            <w:r>
              <w:rPr>
                <w:rFonts w:hint="eastAsia" w:ascii="仿宋" w:hAnsi="仿宋" w:eastAsia="仿宋"/>
                <w:sz w:val="24"/>
                <w:szCs w:val="24"/>
                <w:lang w:val="en-US" w:eastAsia="zh-CN"/>
              </w:rPr>
              <w:t>9.8</w:t>
            </w:r>
            <w:r>
              <w:rPr>
                <w:rFonts w:hint="eastAsia" w:ascii="仿宋" w:hAnsi="仿宋" w:eastAsia="仿宋"/>
                <w:sz w:val="24"/>
                <w:szCs w:val="24"/>
              </w:rPr>
              <w:t>tex</w:t>
            </w:r>
          </w:p>
        </w:tc>
        <w:tc>
          <w:tcPr>
            <w:tcW w:w="151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lang w:val="en-US"/>
              </w:rPr>
            </w:pPr>
            <w:r>
              <w:rPr>
                <w:rFonts w:hint="eastAsia" w:ascii="仿宋" w:hAnsi="仿宋" w:eastAsia="仿宋"/>
                <w:sz w:val="24"/>
                <w:szCs w:val="24"/>
              </w:rPr>
              <w:t xml:space="preserve">Ly/N </w:t>
            </w:r>
            <w:r>
              <w:rPr>
                <w:rFonts w:hint="eastAsia" w:ascii="仿宋" w:hAnsi="仿宋" w:eastAsia="仿宋"/>
                <w:sz w:val="24"/>
                <w:szCs w:val="24"/>
                <w:lang w:val="en-US" w:eastAsia="zh-CN"/>
              </w:rPr>
              <w:t>81.7</w:t>
            </w:r>
            <w:r>
              <w:rPr>
                <w:rFonts w:hint="eastAsia" w:ascii="仿宋" w:hAnsi="仿宋" w:eastAsia="仿宋"/>
                <w:sz w:val="24"/>
                <w:szCs w:val="24"/>
              </w:rPr>
              <w:t>/</w:t>
            </w:r>
            <w:r>
              <w:rPr>
                <w:rFonts w:hint="eastAsia" w:ascii="仿宋" w:hAnsi="仿宋" w:eastAsia="仿宋"/>
                <w:sz w:val="24"/>
                <w:szCs w:val="24"/>
                <w:lang w:val="en-US" w:eastAsia="zh-CN"/>
              </w:rPr>
              <w:t>18.3</w:t>
            </w:r>
            <w:r>
              <w:rPr>
                <w:rFonts w:hint="eastAsia" w:ascii="仿宋" w:hAnsi="仿宋" w:eastAsia="仿宋"/>
                <w:sz w:val="24"/>
                <w:szCs w:val="24"/>
              </w:rPr>
              <w:t xml:space="preserve"> </w:t>
            </w:r>
          </w:p>
        </w:tc>
        <w:tc>
          <w:tcPr>
            <w:tcW w:w="1179" w:type="pct"/>
            <w:vAlign w:val="center"/>
          </w:tcPr>
          <w:p>
            <w:pPr>
              <w:keepNext w:val="0"/>
              <w:keepLines w:val="0"/>
              <w:suppressLineNumbers w:val="0"/>
              <w:adjustRightInd w:val="0"/>
              <w:snapToGrid w:val="0"/>
              <w:spacing w:before="0" w:beforeAutospacing="0" w:after="0" w:afterAutospacing="0"/>
              <w:ind w:left="0" w:right="0"/>
              <w:jc w:val="center"/>
              <w:rPr>
                <w:rFonts w:hint="default" w:ascii="仿宋" w:hAnsi="仿宋" w:eastAsia="仿宋"/>
                <w:szCs w:val="21"/>
              </w:rPr>
            </w:pPr>
            <w:r>
              <w:rPr>
                <w:rFonts w:hint="eastAsia" w:ascii="仿宋" w:hAnsi="仿宋" w:eastAsia="仿宋"/>
                <w:szCs w:val="21"/>
              </w:rPr>
              <w:t>合格</w:t>
            </w:r>
          </w:p>
        </w:tc>
      </w:tr>
    </w:tbl>
    <w:p>
      <w:pPr>
        <w:spacing w:line="360" w:lineRule="atLeast"/>
        <w:jc w:val="both"/>
        <w:rPr>
          <w:rFonts w:hint="default" w:ascii="仿宋" w:hAnsi="仿宋" w:eastAsia="仿宋"/>
          <w:sz w:val="24"/>
          <w:szCs w:val="24"/>
          <w:lang w:val="en-US" w:eastAsia="zh-CN"/>
        </w:rPr>
      </w:pP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4  标准中如果涉及专利，应有明确的知识产权说明</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未涉及专利。</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5  产业化情况、推广应用论证和预期达到的经济效果等情况</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莱赛尔纤维是公认的21世纪绿色纤维，随着国内企业在NMMO溶剂法方面的技术突破，我国莱赛尔纤维产业迅速发展，市场竞争力大幅提高，预计未来几年各类莱赛尔纺织品的开发与应用将进入快速增长期。锦纶纤维是仅次于涤纶的第二大合成纤维品种，2020年我国锦纶纤维产量为384万吨，已成为世界最大的尼龙纤维生产国，随着产量不断扩大，近年来锦纶纤维在各类新型混纺纱线中的应用越来越多。锦纶具有质轻高强、回弹性和耐磨性优良、导热系数大等特点，与莱赛尔纤维混纺可克服再生纤维素纤维不耐磨、易起皱等缺点，并赋予织物轻盈、凉感等特点，可满足消费者市场对差异化莱赛尔纺织产品的需求。莱赛尔纤维与锦纶混纺本色纱兼具莱赛尔光滑柔软、吸湿透气、服用舒适的特点以及锦纶纤维耐磨等优点，其常规产品规格为9.8tex、11.8tex、14.8tex、16.8tex，可促进下游新型面料的发展，广泛应用于针织面料、内衣和床上用品中。当前，莱赛尔纤维与锦纶混纺本色纱已实现规模化生产，年产量达到 1 万吨，产值约2.6亿元，市场效益可观。</w:t>
      </w:r>
    </w:p>
    <w:p>
      <w:pPr>
        <w:spacing w:line="360" w:lineRule="atLeast"/>
        <w:ind w:firstLine="482" w:firstLineChars="200"/>
        <w:rPr>
          <w:rFonts w:ascii="仿宋" w:hAnsi="仿宋" w:eastAsia="仿宋"/>
          <w:sz w:val="24"/>
          <w:szCs w:val="24"/>
        </w:rPr>
      </w:pPr>
      <w:r>
        <w:rPr>
          <w:rFonts w:hint="eastAsia" w:ascii="仿宋" w:hAnsi="仿宋" w:eastAsia="仿宋"/>
          <w:b/>
          <w:sz w:val="24"/>
          <w:szCs w:val="24"/>
        </w:rPr>
        <w:t>6  采用国际标准和国外先进标准情况，与国际、国外同类标准水平的对比情况，国内外关键指标对比分析或与测试的国外样品、样机的相关数据对比情况</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国际和国外无直接对应的产品标准可参考，主要根据我国生产实际以及国外客户的要求制定。</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7  与现行相关法律、法规、规章及相关标准，特别是强制性标准的协调性</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符合现行相关法律、法规、规章要求。</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8  重大分歧意见的处理经过和依据</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无重大分歧意见。</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9  标准性质的建议说明</w:t>
      </w:r>
    </w:p>
    <w:p>
      <w:pPr>
        <w:pStyle w:val="17"/>
        <w:spacing w:line="360" w:lineRule="atLeast"/>
        <w:ind w:firstLine="480"/>
        <w:rPr>
          <w:rFonts w:ascii="仿宋" w:hAnsi="仿宋" w:eastAsia="仿宋"/>
          <w:sz w:val="24"/>
          <w:szCs w:val="24"/>
        </w:rPr>
      </w:pPr>
      <w:r>
        <w:rPr>
          <w:rFonts w:hint="eastAsia" w:ascii="仿宋" w:hAnsi="仿宋" w:eastAsia="仿宋"/>
          <w:sz w:val="24"/>
          <w:szCs w:val="24"/>
        </w:rPr>
        <w:t>本文件作为团体标准。</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10  贯彻标准的要求和措施建议（包括组织措施、技术措施、过渡办法、实施日期等）</w:t>
      </w:r>
    </w:p>
    <w:p>
      <w:pPr>
        <w:spacing w:line="360" w:lineRule="atLeast"/>
        <w:ind w:firstLine="480" w:firstLineChars="200"/>
        <w:rPr>
          <w:rFonts w:ascii="仿宋" w:hAnsi="仿宋" w:eastAsia="仿宋"/>
          <w:b/>
          <w:sz w:val="24"/>
          <w:szCs w:val="24"/>
        </w:rPr>
      </w:pPr>
      <w:r>
        <w:rPr>
          <w:rFonts w:hint="eastAsia" w:ascii="仿宋" w:hAnsi="仿宋" w:eastAsia="仿宋"/>
          <w:sz w:val="24"/>
        </w:rPr>
        <w:t>建议2022年9月1日起贯彻此文件。</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11  废止现行相关标准的建议</w:t>
      </w:r>
    </w:p>
    <w:p>
      <w:pPr>
        <w:spacing w:line="360" w:lineRule="atLeast"/>
        <w:ind w:firstLine="480" w:firstLineChars="200"/>
        <w:rPr>
          <w:rFonts w:ascii="仿宋" w:hAnsi="仿宋" w:eastAsia="仿宋"/>
          <w:sz w:val="24"/>
          <w:szCs w:val="24"/>
        </w:rPr>
      </w:pPr>
      <w:r>
        <w:rPr>
          <w:rFonts w:hint="eastAsia" w:ascii="仿宋" w:hAnsi="仿宋" w:eastAsia="仿宋"/>
          <w:sz w:val="24"/>
          <w:szCs w:val="24"/>
        </w:rPr>
        <w:t>为新制定项目。</w:t>
      </w:r>
    </w:p>
    <w:p>
      <w:pPr>
        <w:spacing w:line="360" w:lineRule="atLeast"/>
        <w:ind w:firstLine="482" w:firstLineChars="200"/>
        <w:rPr>
          <w:rFonts w:ascii="仿宋" w:hAnsi="仿宋" w:eastAsia="仿宋"/>
          <w:b/>
          <w:sz w:val="24"/>
          <w:szCs w:val="24"/>
        </w:rPr>
      </w:pPr>
      <w:r>
        <w:rPr>
          <w:rFonts w:hint="eastAsia" w:ascii="仿宋" w:hAnsi="仿宋" w:eastAsia="仿宋"/>
          <w:b/>
          <w:sz w:val="24"/>
          <w:szCs w:val="24"/>
        </w:rPr>
        <w:t>12  其它应予说明的事项</w:t>
      </w:r>
    </w:p>
    <w:p>
      <w:pPr>
        <w:spacing w:line="360" w:lineRule="atLeast"/>
        <w:ind w:firstLine="480" w:firstLineChars="200"/>
        <w:rPr>
          <w:rFonts w:ascii="仿宋" w:hAnsi="仿宋" w:eastAsia="仿宋"/>
          <w:bCs/>
          <w:sz w:val="24"/>
          <w:szCs w:val="24"/>
        </w:rPr>
      </w:pPr>
      <w:r>
        <w:rPr>
          <w:rFonts w:hint="eastAsia" w:ascii="仿宋" w:hAnsi="仿宋" w:eastAsia="仿宋"/>
          <w:bCs/>
          <w:sz w:val="24"/>
          <w:szCs w:val="24"/>
        </w:rPr>
        <w:t>没有其他应予说明的事项。</w:t>
      </w:r>
    </w:p>
    <w:p>
      <w:pPr>
        <w:spacing w:line="360" w:lineRule="atLeast"/>
        <w:ind w:firstLine="482" w:firstLineChars="200"/>
        <w:rPr>
          <w:rFonts w:ascii="仿宋" w:hAnsi="仿宋" w:eastAsia="仿宋"/>
          <w:b/>
          <w:sz w:val="24"/>
          <w:szCs w:val="24"/>
        </w:rPr>
      </w:pPr>
    </w:p>
    <w:p>
      <w:pPr>
        <w:spacing w:line="360" w:lineRule="atLeast"/>
        <w:ind w:right="722"/>
        <w:jc w:val="right"/>
        <w:rPr>
          <w:rFonts w:ascii="仿宋" w:hAnsi="仿宋" w:eastAsia="仿宋"/>
          <w:b/>
          <w:sz w:val="24"/>
        </w:rPr>
      </w:pPr>
      <w:r>
        <w:rPr>
          <w:rFonts w:hint="eastAsia" w:ascii="仿宋" w:hAnsi="仿宋" w:eastAsia="仿宋"/>
          <w:b/>
          <w:sz w:val="24"/>
        </w:rPr>
        <w:t>起草小组</w:t>
      </w:r>
    </w:p>
    <w:p>
      <w:pPr>
        <w:spacing w:line="360" w:lineRule="atLeast"/>
        <w:ind w:right="482"/>
        <w:jc w:val="right"/>
        <w:rPr>
          <w:rFonts w:ascii="仿宋" w:hAnsi="仿宋" w:eastAsia="仿宋"/>
          <w:sz w:val="24"/>
        </w:rPr>
      </w:pPr>
      <w:r>
        <w:rPr>
          <w:rFonts w:ascii="仿宋" w:hAnsi="仿宋" w:eastAsia="仿宋"/>
          <w:b/>
          <w:sz w:val="24"/>
        </w:rPr>
        <w:t>202</w:t>
      </w:r>
      <w:r>
        <w:rPr>
          <w:rFonts w:hint="eastAsia" w:ascii="仿宋" w:hAnsi="仿宋" w:eastAsia="仿宋"/>
          <w:b/>
          <w:sz w:val="24"/>
        </w:rPr>
        <w:t>2年4月</w:t>
      </w:r>
    </w:p>
    <w:sectPr>
      <w:pgSz w:w="11906" w:h="16838"/>
      <w:pgMar w:top="1588" w:right="1361"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6"/>
      <w:suff w:val="nothing"/>
      <w:lvlText w:val="%1%2　"/>
      <w:lvlJc w:val="left"/>
      <w:pPr>
        <w:ind w:left="0" w:firstLine="0"/>
      </w:pPr>
      <w:rPr>
        <w:rFonts w:hint="eastAsia" w:ascii="黑体" w:eastAsia="黑体"/>
        <w:b w:val="0"/>
        <w:i w:val="0"/>
        <w:sz w:val="21"/>
      </w:rPr>
    </w:lvl>
    <w:lvl w:ilvl="2" w:tentative="0">
      <w:start w:val="1"/>
      <w:numFmt w:val="decimal"/>
      <w:pStyle w:val="2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9C2"/>
    <w:rsid w:val="000058B9"/>
    <w:rsid w:val="00010E65"/>
    <w:rsid w:val="00017C16"/>
    <w:rsid w:val="00026814"/>
    <w:rsid w:val="000349C9"/>
    <w:rsid w:val="00043C57"/>
    <w:rsid w:val="00047546"/>
    <w:rsid w:val="00052DF9"/>
    <w:rsid w:val="0005717E"/>
    <w:rsid w:val="0006227E"/>
    <w:rsid w:val="000639F1"/>
    <w:rsid w:val="00071D11"/>
    <w:rsid w:val="00084484"/>
    <w:rsid w:val="0009237E"/>
    <w:rsid w:val="00092DD8"/>
    <w:rsid w:val="00095D16"/>
    <w:rsid w:val="0009755A"/>
    <w:rsid w:val="000B23F1"/>
    <w:rsid w:val="000B4EE9"/>
    <w:rsid w:val="000C50CC"/>
    <w:rsid w:val="000D312C"/>
    <w:rsid w:val="000F15E7"/>
    <w:rsid w:val="00104C4E"/>
    <w:rsid w:val="00110100"/>
    <w:rsid w:val="00116E10"/>
    <w:rsid w:val="00125C7D"/>
    <w:rsid w:val="0013196B"/>
    <w:rsid w:val="00132C0C"/>
    <w:rsid w:val="0013478D"/>
    <w:rsid w:val="00144B14"/>
    <w:rsid w:val="00144CEA"/>
    <w:rsid w:val="00150FF6"/>
    <w:rsid w:val="00162DF9"/>
    <w:rsid w:val="00172A27"/>
    <w:rsid w:val="00175E61"/>
    <w:rsid w:val="00177489"/>
    <w:rsid w:val="0018007B"/>
    <w:rsid w:val="00197808"/>
    <w:rsid w:val="001D181F"/>
    <w:rsid w:val="001D7158"/>
    <w:rsid w:val="001E01A0"/>
    <w:rsid w:val="001E27CF"/>
    <w:rsid w:val="001E2B22"/>
    <w:rsid w:val="001E3058"/>
    <w:rsid w:val="001E343F"/>
    <w:rsid w:val="001E6746"/>
    <w:rsid w:val="001F7D10"/>
    <w:rsid w:val="00210FDF"/>
    <w:rsid w:val="00211306"/>
    <w:rsid w:val="0023550C"/>
    <w:rsid w:val="00242003"/>
    <w:rsid w:val="0025658A"/>
    <w:rsid w:val="00260F6B"/>
    <w:rsid w:val="002741AA"/>
    <w:rsid w:val="002A56A2"/>
    <w:rsid w:val="002B0CE9"/>
    <w:rsid w:val="002B74A1"/>
    <w:rsid w:val="002C6D21"/>
    <w:rsid w:val="00300DB5"/>
    <w:rsid w:val="0030223D"/>
    <w:rsid w:val="00306737"/>
    <w:rsid w:val="00313F2B"/>
    <w:rsid w:val="0031700C"/>
    <w:rsid w:val="00320378"/>
    <w:rsid w:val="00320C39"/>
    <w:rsid w:val="003331A8"/>
    <w:rsid w:val="003429A9"/>
    <w:rsid w:val="00361A1C"/>
    <w:rsid w:val="00383264"/>
    <w:rsid w:val="003A033E"/>
    <w:rsid w:val="003A64C2"/>
    <w:rsid w:val="003B7B37"/>
    <w:rsid w:val="003C78EA"/>
    <w:rsid w:val="003D4B98"/>
    <w:rsid w:val="003D5276"/>
    <w:rsid w:val="003E1B07"/>
    <w:rsid w:val="003F3B68"/>
    <w:rsid w:val="00413DD2"/>
    <w:rsid w:val="00422F79"/>
    <w:rsid w:val="00423E9C"/>
    <w:rsid w:val="004243D8"/>
    <w:rsid w:val="00425039"/>
    <w:rsid w:val="00430D58"/>
    <w:rsid w:val="0043590D"/>
    <w:rsid w:val="00440D1D"/>
    <w:rsid w:val="00440E65"/>
    <w:rsid w:val="00444454"/>
    <w:rsid w:val="0046311B"/>
    <w:rsid w:val="00463C68"/>
    <w:rsid w:val="00465DE6"/>
    <w:rsid w:val="00473241"/>
    <w:rsid w:val="00476F7F"/>
    <w:rsid w:val="00481644"/>
    <w:rsid w:val="004872EF"/>
    <w:rsid w:val="004A0A8F"/>
    <w:rsid w:val="004A3C38"/>
    <w:rsid w:val="004B083D"/>
    <w:rsid w:val="004B175F"/>
    <w:rsid w:val="004B37DD"/>
    <w:rsid w:val="004D6FE9"/>
    <w:rsid w:val="004E6ABC"/>
    <w:rsid w:val="005000C8"/>
    <w:rsid w:val="00502EA3"/>
    <w:rsid w:val="0051577A"/>
    <w:rsid w:val="00535FA4"/>
    <w:rsid w:val="0054454E"/>
    <w:rsid w:val="00545D08"/>
    <w:rsid w:val="005507F3"/>
    <w:rsid w:val="00551B8E"/>
    <w:rsid w:val="00551F21"/>
    <w:rsid w:val="00552E61"/>
    <w:rsid w:val="005658ED"/>
    <w:rsid w:val="005726B4"/>
    <w:rsid w:val="00572751"/>
    <w:rsid w:val="00575575"/>
    <w:rsid w:val="00581007"/>
    <w:rsid w:val="005946CC"/>
    <w:rsid w:val="005A6410"/>
    <w:rsid w:val="005B0D08"/>
    <w:rsid w:val="005B230B"/>
    <w:rsid w:val="005B5523"/>
    <w:rsid w:val="005B58C3"/>
    <w:rsid w:val="005C398F"/>
    <w:rsid w:val="005C539F"/>
    <w:rsid w:val="005D201D"/>
    <w:rsid w:val="005D6700"/>
    <w:rsid w:val="005D6E81"/>
    <w:rsid w:val="005D74A3"/>
    <w:rsid w:val="005F4DE0"/>
    <w:rsid w:val="005F5E54"/>
    <w:rsid w:val="00600A43"/>
    <w:rsid w:val="00601D8B"/>
    <w:rsid w:val="006210F9"/>
    <w:rsid w:val="00624162"/>
    <w:rsid w:val="00635E46"/>
    <w:rsid w:val="00635EDB"/>
    <w:rsid w:val="0065483D"/>
    <w:rsid w:val="00665483"/>
    <w:rsid w:val="0069083C"/>
    <w:rsid w:val="006914A0"/>
    <w:rsid w:val="00691A7E"/>
    <w:rsid w:val="00697827"/>
    <w:rsid w:val="006A5701"/>
    <w:rsid w:val="006C6BEF"/>
    <w:rsid w:val="006D3F3F"/>
    <w:rsid w:val="006D411C"/>
    <w:rsid w:val="006D4765"/>
    <w:rsid w:val="006D7D6B"/>
    <w:rsid w:val="006E1F67"/>
    <w:rsid w:val="00700442"/>
    <w:rsid w:val="00705266"/>
    <w:rsid w:val="00706BD0"/>
    <w:rsid w:val="007332AC"/>
    <w:rsid w:val="00746EE4"/>
    <w:rsid w:val="00750F48"/>
    <w:rsid w:val="00752FFA"/>
    <w:rsid w:val="00761B71"/>
    <w:rsid w:val="00763073"/>
    <w:rsid w:val="00765219"/>
    <w:rsid w:val="007707B7"/>
    <w:rsid w:val="0077601B"/>
    <w:rsid w:val="00795E95"/>
    <w:rsid w:val="00796FF9"/>
    <w:rsid w:val="007B2A65"/>
    <w:rsid w:val="007B40E5"/>
    <w:rsid w:val="007B54E8"/>
    <w:rsid w:val="007B76B7"/>
    <w:rsid w:val="007B786E"/>
    <w:rsid w:val="007D406B"/>
    <w:rsid w:val="007D55BE"/>
    <w:rsid w:val="007D6CBB"/>
    <w:rsid w:val="007E2699"/>
    <w:rsid w:val="007E6634"/>
    <w:rsid w:val="007F5D37"/>
    <w:rsid w:val="007F7613"/>
    <w:rsid w:val="00804655"/>
    <w:rsid w:val="00805065"/>
    <w:rsid w:val="00806512"/>
    <w:rsid w:val="008109E1"/>
    <w:rsid w:val="00832425"/>
    <w:rsid w:val="00845623"/>
    <w:rsid w:val="008553CA"/>
    <w:rsid w:val="00857051"/>
    <w:rsid w:val="008702B0"/>
    <w:rsid w:val="008A4F83"/>
    <w:rsid w:val="008A5AC2"/>
    <w:rsid w:val="008B2E5F"/>
    <w:rsid w:val="008C1A6E"/>
    <w:rsid w:val="008D4C64"/>
    <w:rsid w:val="008D7C44"/>
    <w:rsid w:val="008F0172"/>
    <w:rsid w:val="008F0AB0"/>
    <w:rsid w:val="008F348F"/>
    <w:rsid w:val="00901DBB"/>
    <w:rsid w:val="00906DF8"/>
    <w:rsid w:val="00927CF9"/>
    <w:rsid w:val="00947D24"/>
    <w:rsid w:val="0095521A"/>
    <w:rsid w:val="0096641B"/>
    <w:rsid w:val="00970327"/>
    <w:rsid w:val="00970B0F"/>
    <w:rsid w:val="00970F89"/>
    <w:rsid w:val="00972605"/>
    <w:rsid w:val="00974424"/>
    <w:rsid w:val="00987DB3"/>
    <w:rsid w:val="009A4296"/>
    <w:rsid w:val="009A429D"/>
    <w:rsid w:val="009B4D07"/>
    <w:rsid w:val="009D1FB7"/>
    <w:rsid w:val="009D603D"/>
    <w:rsid w:val="009F4901"/>
    <w:rsid w:val="00A21165"/>
    <w:rsid w:val="00A40022"/>
    <w:rsid w:val="00A50A74"/>
    <w:rsid w:val="00A65F86"/>
    <w:rsid w:val="00A72B0C"/>
    <w:rsid w:val="00A7387A"/>
    <w:rsid w:val="00A93E4E"/>
    <w:rsid w:val="00AA5DD6"/>
    <w:rsid w:val="00AB2319"/>
    <w:rsid w:val="00AC393D"/>
    <w:rsid w:val="00AC4B8D"/>
    <w:rsid w:val="00AD1441"/>
    <w:rsid w:val="00AD65DC"/>
    <w:rsid w:val="00AF64A6"/>
    <w:rsid w:val="00B308F3"/>
    <w:rsid w:val="00B359EE"/>
    <w:rsid w:val="00B44FE0"/>
    <w:rsid w:val="00B536A8"/>
    <w:rsid w:val="00B66AF3"/>
    <w:rsid w:val="00B7027F"/>
    <w:rsid w:val="00B74D9D"/>
    <w:rsid w:val="00B825D2"/>
    <w:rsid w:val="00B90717"/>
    <w:rsid w:val="00BB07F8"/>
    <w:rsid w:val="00BC1378"/>
    <w:rsid w:val="00BC147F"/>
    <w:rsid w:val="00BC1A85"/>
    <w:rsid w:val="00BC3EE6"/>
    <w:rsid w:val="00BD1E80"/>
    <w:rsid w:val="00BD65BA"/>
    <w:rsid w:val="00BE035A"/>
    <w:rsid w:val="00BF4236"/>
    <w:rsid w:val="00BF52DE"/>
    <w:rsid w:val="00C15277"/>
    <w:rsid w:val="00C2149B"/>
    <w:rsid w:val="00C263EA"/>
    <w:rsid w:val="00C32251"/>
    <w:rsid w:val="00C36A6E"/>
    <w:rsid w:val="00C4362A"/>
    <w:rsid w:val="00C46DB2"/>
    <w:rsid w:val="00C7381E"/>
    <w:rsid w:val="00C93259"/>
    <w:rsid w:val="00C936EF"/>
    <w:rsid w:val="00C9412F"/>
    <w:rsid w:val="00CA0681"/>
    <w:rsid w:val="00CA10F4"/>
    <w:rsid w:val="00CA30B0"/>
    <w:rsid w:val="00CB4A15"/>
    <w:rsid w:val="00CC056B"/>
    <w:rsid w:val="00CC259B"/>
    <w:rsid w:val="00CC426D"/>
    <w:rsid w:val="00CD1A56"/>
    <w:rsid w:val="00CF47E7"/>
    <w:rsid w:val="00CF6985"/>
    <w:rsid w:val="00D04097"/>
    <w:rsid w:val="00D054EB"/>
    <w:rsid w:val="00D07B1D"/>
    <w:rsid w:val="00D14108"/>
    <w:rsid w:val="00D25171"/>
    <w:rsid w:val="00D25BD5"/>
    <w:rsid w:val="00D4614C"/>
    <w:rsid w:val="00D6285A"/>
    <w:rsid w:val="00D66A54"/>
    <w:rsid w:val="00DA1013"/>
    <w:rsid w:val="00DA607D"/>
    <w:rsid w:val="00DA656B"/>
    <w:rsid w:val="00DB782D"/>
    <w:rsid w:val="00DC0AF5"/>
    <w:rsid w:val="00DC77B5"/>
    <w:rsid w:val="00DD07D8"/>
    <w:rsid w:val="00DE370D"/>
    <w:rsid w:val="00DE39CC"/>
    <w:rsid w:val="00DE7BEA"/>
    <w:rsid w:val="00DF07D9"/>
    <w:rsid w:val="00E03162"/>
    <w:rsid w:val="00E03A05"/>
    <w:rsid w:val="00E03A3F"/>
    <w:rsid w:val="00E215A3"/>
    <w:rsid w:val="00E248D9"/>
    <w:rsid w:val="00E2760F"/>
    <w:rsid w:val="00E330F0"/>
    <w:rsid w:val="00E33AA3"/>
    <w:rsid w:val="00E41F04"/>
    <w:rsid w:val="00E44A4D"/>
    <w:rsid w:val="00E56281"/>
    <w:rsid w:val="00E61899"/>
    <w:rsid w:val="00E63257"/>
    <w:rsid w:val="00E7105B"/>
    <w:rsid w:val="00E77DDC"/>
    <w:rsid w:val="00E81367"/>
    <w:rsid w:val="00E83221"/>
    <w:rsid w:val="00E878E0"/>
    <w:rsid w:val="00E93243"/>
    <w:rsid w:val="00EA7E2B"/>
    <w:rsid w:val="00EB08A5"/>
    <w:rsid w:val="00EB10C6"/>
    <w:rsid w:val="00EB5E9F"/>
    <w:rsid w:val="00ED2ABC"/>
    <w:rsid w:val="00ED5F0D"/>
    <w:rsid w:val="00EE5CDF"/>
    <w:rsid w:val="00F00466"/>
    <w:rsid w:val="00F05134"/>
    <w:rsid w:val="00F16592"/>
    <w:rsid w:val="00F20EF5"/>
    <w:rsid w:val="00F27843"/>
    <w:rsid w:val="00F32F20"/>
    <w:rsid w:val="00F536BD"/>
    <w:rsid w:val="00F56DCA"/>
    <w:rsid w:val="00F622DC"/>
    <w:rsid w:val="00F652F3"/>
    <w:rsid w:val="00F67064"/>
    <w:rsid w:val="00F72B0E"/>
    <w:rsid w:val="00F734D9"/>
    <w:rsid w:val="00F7529A"/>
    <w:rsid w:val="00F75388"/>
    <w:rsid w:val="00F80EA9"/>
    <w:rsid w:val="00F80EBA"/>
    <w:rsid w:val="00F85647"/>
    <w:rsid w:val="00FA4901"/>
    <w:rsid w:val="00FA57B1"/>
    <w:rsid w:val="00FA6727"/>
    <w:rsid w:val="00FA6E31"/>
    <w:rsid w:val="00FA7777"/>
    <w:rsid w:val="00FB4FF6"/>
    <w:rsid w:val="00FC4A58"/>
    <w:rsid w:val="00FD73BE"/>
    <w:rsid w:val="00FE4A16"/>
    <w:rsid w:val="00FF42B1"/>
    <w:rsid w:val="03502F42"/>
    <w:rsid w:val="037A123C"/>
    <w:rsid w:val="048A3B03"/>
    <w:rsid w:val="06843926"/>
    <w:rsid w:val="07285840"/>
    <w:rsid w:val="08BA3DF2"/>
    <w:rsid w:val="0AA966C6"/>
    <w:rsid w:val="0AD72C50"/>
    <w:rsid w:val="0E1D4A9B"/>
    <w:rsid w:val="127E187D"/>
    <w:rsid w:val="130B00F6"/>
    <w:rsid w:val="136F7CEA"/>
    <w:rsid w:val="173B6CC6"/>
    <w:rsid w:val="17CB058B"/>
    <w:rsid w:val="17E65FF9"/>
    <w:rsid w:val="18273651"/>
    <w:rsid w:val="18A01AAD"/>
    <w:rsid w:val="1CFB3D2B"/>
    <w:rsid w:val="1D967C29"/>
    <w:rsid w:val="1DCE6C10"/>
    <w:rsid w:val="202402E3"/>
    <w:rsid w:val="21033C85"/>
    <w:rsid w:val="238D22DA"/>
    <w:rsid w:val="24414D2F"/>
    <w:rsid w:val="266051C8"/>
    <w:rsid w:val="26D10D20"/>
    <w:rsid w:val="28BC5EBE"/>
    <w:rsid w:val="28C371D1"/>
    <w:rsid w:val="295E007E"/>
    <w:rsid w:val="2BFC1690"/>
    <w:rsid w:val="2D044C72"/>
    <w:rsid w:val="2DCC125A"/>
    <w:rsid w:val="2FA86DE1"/>
    <w:rsid w:val="3285414C"/>
    <w:rsid w:val="351E5985"/>
    <w:rsid w:val="36455B1A"/>
    <w:rsid w:val="36487CE7"/>
    <w:rsid w:val="36AD408E"/>
    <w:rsid w:val="372F60EF"/>
    <w:rsid w:val="3A370FF1"/>
    <w:rsid w:val="3BE78100"/>
    <w:rsid w:val="3CD07542"/>
    <w:rsid w:val="3CE36B11"/>
    <w:rsid w:val="3CE71225"/>
    <w:rsid w:val="3EEE71AE"/>
    <w:rsid w:val="411D444A"/>
    <w:rsid w:val="431B107D"/>
    <w:rsid w:val="44D323C7"/>
    <w:rsid w:val="47A619B8"/>
    <w:rsid w:val="48295864"/>
    <w:rsid w:val="4A584F73"/>
    <w:rsid w:val="4CC64265"/>
    <w:rsid w:val="4F3B1644"/>
    <w:rsid w:val="510A76C8"/>
    <w:rsid w:val="524771B7"/>
    <w:rsid w:val="530140A5"/>
    <w:rsid w:val="56F622DB"/>
    <w:rsid w:val="574701FA"/>
    <w:rsid w:val="587A0547"/>
    <w:rsid w:val="5A805197"/>
    <w:rsid w:val="5BA45223"/>
    <w:rsid w:val="5C9A73F9"/>
    <w:rsid w:val="5D9658E6"/>
    <w:rsid w:val="5FDF3EA3"/>
    <w:rsid w:val="63D5472D"/>
    <w:rsid w:val="64616B45"/>
    <w:rsid w:val="64F37F36"/>
    <w:rsid w:val="6678344E"/>
    <w:rsid w:val="6CD05E0E"/>
    <w:rsid w:val="709A3F00"/>
    <w:rsid w:val="735B52ED"/>
    <w:rsid w:val="74EA0DEE"/>
    <w:rsid w:val="75180403"/>
    <w:rsid w:val="754702E6"/>
    <w:rsid w:val="78410DA7"/>
    <w:rsid w:val="7A75665A"/>
    <w:rsid w:val="7B43595C"/>
    <w:rsid w:val="7D764A8F"/>
    <w:rsid w:val="7DE79B4F"/>
    <w:rsid w:val="AEA6ED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unhideWhenUsed/>
    <w:qFormat/>
    <w:uiPriority w:val="99"/>
    <w:pPr>
      <w:jc w:val="left"/>
    </w:pPr>
  </w:style>
  <w:style w:type="paragraph" w:styleId="3">
    <w:name w:val="Date"/>
    <w:basedOn w:val="1"/>
    <w:next w:val="1"/>
    <w:link w:val="19"/>
    <w:qFormat/>
    <w:uiPriority w:val="99"/>
    <w:pPr>
      <w:ind w:left="100" w:leftChars="2500"/>
    </w:pPr>
  </w:style>
  <w:style w:type="paragraph" w:styleId="4">
    <w:name w:val="Balloon Text"/>
    <w:basedOn w:val="1"/>
    <w:link w:val="16"/>
    <w:qFormat/>
    <w:uiPriority w:val="99"/>
    <w:rPr>
      <w:sz w:val="18"/>
      <w:szCs w:val="18"/>
    </w:rPr>
  </w:style>
  <w:style w:type="paragraph" w:styleId="5">
    <w:name w:val="footer"/>
    <w:basedOn w:val="1"/>
    <w:link w:val="14"/>
    <w:qFormat/>
    <w:uiPriority w:val="99"/>
    <w:pPr>
      <w:tabs>
        <w:tab w:val="center" w:pos="4153"/>
        <w:tab w:val="right" w:pos="8306"/>
      </w:tabs>
      <w:snapToGrid w:val="0"/>
      <w:jc w:val="left"/>
    </w:pPr>
    <w:rPr>
      <w:sz w:val="18"/>
      <w:szCs w:val="18"/>
    </w:rPr>
  </w:style>
  <w:style w:type="paragraph" w:styleId="6">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rPr>
      <w:sz w:val="24"/>
    </w:rPr>
  </w:style>
  <w:style w:type="paragraph" w:styleId="8">
    <w:name w:val="annotation subject"/>
    <w:basedOn w:val="2"/>
    <w:next w:val="2"/>
    <w:link w:val="22"/>
    <w:unhideWhenUsed/>
    <w:qFormat/>
    <w:uiPriority w:val="99"/>
    <w:rPr>
      <w:b/>
      <w:bCs/>
    </w:rPr>
  </w:style>
  <w:style w:type="table" w:styleId="10">
    <w:name w:val="Table Grid"/>
    <w:basedOn w:val="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
    <w:name w:val="annotation reference"/>
    <w:basedOn w:val="11"/>
    <w:unhideWhenUsed/>
    <w:qFormat/>
    <w:uiPriority w:val="99"/>
    <w:rPr>
      <w:sz w:val="21"/>
      <w:szCs w:val="21"/>
    </w:rPr>
  </w:style>
  <w:style w:type="character" w:customStyle="1" w:styleId="13">
    <w:name w:val="页眉 字符"/>
    <w:basedOn w:val="11"/>
    <w:link w:val="6"/>
    <w:qFormat/>
    <w:uiPriority w:val="99"/>
    <w:rPr>
      <w:sz w:val="18"/>
      <w:szCs w:val="18"/>
    </w:rPr>
  </w:style>
  <w:style w:type="character" w:customStyle="1" w:styleId="14">
    <w:name w:val="页脚 字符"/>
    <w:basedOn w:val="11"/>
    <w:link w:val="5"/>
    <w:qFormat/>
    <w:uiPriority w:val="99"/>
    <w:rPr>
      <w:sz w:val="18"/>
      <w:szCs w:val="18"/>
    </w:rPr>
  </w:style>
  <w:style w:type="character" w:customStyle="1" w:styleId="15">
    <w:name w:val="占位符文本1"/>
    <w:basedOn w:val="11"/>
    <w:qFormat/>
    <w:uiPriority w:val="99"/>
    <w:rPr>
      <w:color w:val="808080"/>
    </w:rPr>
  </w:style>
  <w:style w:type="character" w:customStyle="1" w:styleId="16">
    <w:name w:val="批注框文本 字符"/>
    <w:basedOn w:val="11"/>
    <w:link w:val="4"/>
    <w:qFormat/>
    <w:uiPriority w:val="99"/>
    <w:rPr>
      <w:sz w:val="18"/>
      <w:szCs w:val="18"/>
    </w:rPr>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列表段落1"/>
    <w:basedOn w:val="1"/>
    <w:qFormat/>
    <w:uiPriority w:val="34"/>
    <w:pPr>
      <w:ind w:firstLine="420" w:firstLineChars="200"/>
    </w:pPr>
  </w:style>
  <w:style w:type="character" w:customStyle="1" w:styleId="19">
    <w:name w:val="日期 字符"/>
    <w:basedOn w:val="11"/>
    <w:link w:val="3"/>
    <w:qFormat/>
    <w:uiPriority w:val="99"/>
  </w:style>
  <w:style w:type="paragraph" w:customStyle="1" w:styleId="20">
    <w:name w:val="二级无"/>
    <w:basedOn w:val="1"/>
    <w:qFormat/>
    <w:uiPriority w:val="0"/>
    <w:pPr>
      <w:widowControl/>
      <w:jc w:val="left"/>
      <w:outlineLvl w:val="3"/>
    </w:pPr>
    <w:rPr>
      <w:rFonts w:ascii="宋体" w:hAnsi="Times New Roman" w:cs="Times New Roman"/>
      <w:kern w:val="0"/>
      <w:szCs w:val="21"/>
    </w:rPr>
  </w:style>
  <w:style w:type="character" w:customStyle="1" w:styleId="21">
    <w:name w:val="批注文字 字符"/>
    <w:basedOn w:val="11"/>
    <w:link w:val="2"/>
    <w:semiHidden/>
    <w:qFormat/>
    <w:uiPriority w:val="99"/>
  </w:style>
  <w:style w:type="character" w:customStyle="1" w:styleId="22">
    <w:name w:val="批注主题 字符"/>
    <w:basedOn w:val="21"/>
    <w:link w:val="8"/>
    <w:semiHidden/>
    <w:qFormat/>
    <w:uiPriority w:val="99"/>
    <w:rPr>
      <w:b/>
      <w:bCs/>
    </w:rPr>
  </w:style>
  <w:style w:type="character" w:customStyle="1" w:styleId="23">
    <w:name w:val="font31"/>
    <w:basedOn w:val="11"/>
    <w:qFormat/>
    <w:uiPriority w:val="0"/>
    <w:rPr>
      <w:rFonts w:ascii="Arial" w:hAnsi="Arial" w:cs="Arial"/>
      <w:color w:val="000000"/>
      <w:sz w:val="18"/>
      <w:szCs w:val="18"/>
      <w:u w:val="none"/>
    </w:rPr>
  </w:style>
  <w:style w:type="paragraph" w:customStyle="1" w:styleId="24">
    <w:name w:val="标准文件_一级无标题"/>
    <w:basedOn w:val="25"/>
    <w:qFormat/>
    <w:uiPriority w:val="0"/>
    <w:pPr>
      <w:spacing w:beforeLines="0" w:afterLines="0"/>
      <w:outlineLvl w:val="9"/>
    </w:pPr>
    <w:rPr>
      <w:rFonts w:ascii="宋体" w:eastAsia="宋体"/>
    </w:rPr>
  </w:style>
  <w:style w:type="paragraph" w:customStyle="1" w:styleId="25">
    <w:name w:val="标准文件_一级条标题"/>
    <w:basedOn w:val="26"/>
    <w:next w:val="27"/>
    <w:qFormat/>
    <w:uiPriority w:val="0"/>
    <w:pPr>
      <w:numPr>
        <w:ilvl w:val="2"/>
      </w:numPr>
      <w:spacing w:beforeLines="50" w:afterLines="50"/>
      <w:outlineLvl w:val="1"/>
    </w:pPr>
  </w:style>
  <w:style w:type="paragraph" w:customStyle="1" w:styleId="26">
    <w:name w:val="标准文件_章标题"/>
    <w:next w:val="27"/>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 w:type="paragraph" w:customStyle="1" w:styleId="2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8">
    <w:name w:val="标准文件_表格"/>
    <w:basedOn w:val="27"/>
    <w:qFormat/>
    <w:uiPriority w:val="0"/>
    <w:pPr>
      <w:ind w:firstLine="0" w:firstLineChars="0"/>
      <w:jc w:val="center"/>
    </w:pPr>
    <w:rPr>
      <w:sz w:val="18"/>
    </w:rPr>
  </w:style>
  <w:style w:type="character" w:customStyle="1" w:styleId="29">
    <w:name w:val="标准文件_段 Char"/>
    <w:basedOn w:val="11"/>
    <w:qFormat/>
    <w:uiPriority w:val="0"/>
    <w:rPr>
      <w:rFonts w:hint="eastAsia" w:ascii="宋体" w:hAnsi="Times New Roman" w:eastAsia="宋体" w:cs="宋体"/>
      <w:sz w:val="21"/>
    </w:rPr>
  </w:style>
  <w:style w:type="paragraph" w:customStyle="1" w:styleId="30">
    <w:name w:val="正文1"/>
    <w:basedOn w:val="1"/>
    <w:uiPriority w:val="0"/>
    <w:pPr>
      <w:widowControl/>
    </w:pPr>
    <w:rPr>
      <w:rFonts w:ascii="Times New Roman" w:hAnsi="Times New Roman"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Pages>
  <Words>3789</Words>
  <Characters>4823</Characters>
  <Lines>38</Lines>
  <Paragraphs>10</Paragraphs>
  <TotalTime>3</TotalTime>
  <ScaleCrop>false</ScaleCrop>
  <LinksUpToDate>false</LinksUpToDate>
  <CharactersWithSpaces>4940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2021-07-02T01:27:00Z</dcterms:created>
  <dc:creator>1-04-186</dc:creator>
  <cp:lastModifiedBy>86136</cp:lastModifiedBy>
  <cp:lastPrinted>2022-04-22T03:04:00Z</cp:lastPrinted>
  <dcterms:modified xsi:type="dcterms:W3CDTF">2022-04-28T07:39:48Z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372A04C3ADCA42AE853AC60BEE58AAD2</vt:lpwstr>
  </property>
</Properties>
</file>